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5D5F540C" w:rsidR="00157184" w:rsidRPr="00012D58" w:rsidRDefault="00423644" w:rsidP="00157184">
      <w:pPr>
        <w:pStyle w:val="CRCoverPage"/>
        <w:tabs>
          <w:tab w:val="right" w:pos="9639"/>
        </w:tabs>
        <w:spacing w:after="0" w:line="360" w:lineRule="auto"/>
        <w:jc w:val="both"/>
        <w:rPr>
          <w:b/>
          <w:sz w:val="28"/>
          <w:szCs w:val="28"/>
          <w:lang w:eastAsia="en-GB"/>
        </w:rPr>
      </w:pPr>
      <w:r>
        <w:rPr>
          <w:b/>
          <w:sz w:val="28"/>
          <w:szCs w:val="28"/>
          <w:lang w:eastAsia="en-GB"/>
        </w:rPr>
        <w:t>3GPP TSG-RAN WG2 Meeting#</w:t>
      </w:r>
      <w:r w:rsidR="00157184" w:rsidRPr="00012D58">
        <w:rPr>
          <w:b/>
          <w:sz w:val="28"/>
          <w:szCs w:val="28"/>
          <w:lang w:eastAsia="en-GB"/>
        </w:rPr>
        <w:t>10</w:t>
      </w:r>
      <w:r w:rsidR="005A4604">
        <w:rPr>
          <w:b/>
          <w:sz w:val="28"/>
          <w:szCs w:val="28"/>
          <w:lang w:eastAsia="en-GB"/>
        </w:rPr>
        <w:t>8</w:t>
      </w:r>
      <w:r w:rsidR="00157184" w:rsidRPr="00012D58">
        <w:rPr>
          <w:b/>
          <w:sz w:val="28"/>
          <w:szCs w:val="28"/>
          <w:lang w:eastAsia="en-GB"/>
        </w:rPr>
        <w:tab/>
      </w:r>
      <w:bookmarkStart w:id="0" w:name="OLE_LINK417"/>
      <w:bookmarkStart w:id="1" w:name="OLE_LINK418"/>
      <w:r w:rsidRPr="00423644">
        <w:rPr>
          <w:b/>
          <w:sz w:val="28"/>
          <w:szCs w:val="28"/>
          <w:lang w:eastAsia="en-GB"/>
        </w:rPr>
        <w:t>R2-1916014</w:t>
      </w:r>
    </w:p>
    <w:bookmarkEnd w:id="0"/>
    <w:bookmarkEnd w:id="1"/>
    <w:p w14:paraId="0C4FDF86" w14:textId="77B88108" w:rsidR="0032193D" w:rsidRPr="00147172" w:rsidRDefault="005A4604" w:rsidP="00147172">
      <w:pPr>
        <w:pStyle w:val="CRCoverPage"/>
        <w:spacing w:line="360" w:lineRule="auto"/>
        <w:jc w:val="both"/>
        <w:outlineLvl w:val="0"/>
        <w:rPr>
          <w:b/>
          <w:sz w:val="28"/>
          <w:szCs w:val="28"/>
          <w:lang w:eastAsia="en-GB"/>
        </w:rPr>
      </w:pPr>
      <w:r>
        <w:rPr>
          <w:b/>
          <w:sz w:val="28"/>
          <w:szCs w:val="28"/>
          <w:lang w:eastAsia="en-GB"/>
        </w:rPr>
        <w:t>Reno</w:t>
      </w:r>
      <w:r w:rsidR="00157184" w:rsidRPr="00012D58">
        <w:rPr>
          <w:b/>
          <w:sz w:val="28"/>
          <w:szCs w:val="28"/>
          <w:lang w:eastAsia="en-GB"/>
        </w:rPr>
        <w:t xml:space="preserve">, </w:t>
      </w:r>
      <w:r>
        <w:rPr>
          <w:b/>
          <w:sz w:val="28"/>
          <w:szCs w:val="28"/>
          <w:lang w:eastAsia="en-GB"/>
        </w:rPr>
        <w:t>USA</w:t>
      </w:r>
      <w:r w:rsidR="00157184" w:rsidRPr="00012D58">
        <w:rPr>
          <w:b/>
          <w:sz w:val="28"/>
          <w:szCs w:val="28"/>
          <w:lang w:eastAsia="en-GB"/>
        </w:rPr>
        <w:t xml:space="preserve">, </w:t>
      </w:r>
      <w:r w:rsidR="00E1402B">
        <w:rPr>
          <w:b/>
          <w:sz w:val="28"/>
          <w:szCs w:val="28"/>
          <w:lang w:eastAsia="en-GB"/>
        </w:rPr>
        <w:t>18</w:t>
      </w:r>
      <w:r>
        <w:rPr>
          <w:b/>
          <w:sz w:val="28"/>
          <w:szCs w:val="28"/>
          <w:lang w:eastAsia="en-GB"/>
        </w:rPr>
        <w:t>-22 November</w:t>
      </w:r>
      <w:r w:rsidR="00157184" w:rsidRPr="00012D58">
        <w:rPr>
          <w:b/>
          <w:sz w:val="28"/>
          <w:szCs w:val="28"/>
          <w:lang w:eastAsia="en-GB"/>
        </w:rPr>
        <w:t xml:space="preserve">, 2019                       </w:t>
      </w:r>
    </w:p>
    <w:p w14:paraId="1E3D9718" w14:textId="230074A8" w:rsidR="00300AE8" w:rsidRPr="00841C90"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841C90" w:rsidRPr="00841C90">
        <w:rPr>
          <w:sz w:val="22"/>
          <w:szCs w:val="22"/>
          <w:lang w:val="en-US"/>
        </w:rPr>
        <w:t>6.13.</w:t>
      </w:r>
      <w:r w:rsidR="000E2663">
        <w:rPr>
          <w:sz w:val="22"/>
          <w:szCs w:val="22"/>
          <w:lang w:val="en-US"/>
        </w:rPr>
        <w:t>2</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49AB8E22"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616BEE">
        <w:rPr>
          <w:sz w:val="22"/>
          <w:szCs w:val="22"/>
          <w:lang w:val="en-US"/>
        </w:rPr>
        <w:t>MsgA resource configuration and selection</w:t>
      </w:r>
      <w:r w:rsidR="007B1990" w:rsidRPr="003533B0">
        <w:rPr>
          <w:sz w:val="22"/>
          <w:szCs w:val="22"/>
          <w:lang w:val="en-US"/>
        </w:rPr>
        <w:t xml:space="preserve"> </w:t>
      </w:r>
    </w:p>
    <w:p w14:paraId="2B4F609C" w14:textId="7824ACDB" w:rsidR="00300AE8" w:rsidRPr="00147172" w:rsidRDefault="00300AE8" w:rsidP="00147172">
      <w:pPr>
        <w:pStyle w:val="3GPPHeader"/>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64C1CA24" w14:textId="55789454" w:rsidR="00F24E9F" w:rsidRPr="00616BEE" w:rsidRDefault="00F24E9F" w:rsidP="00F24E9F">
      <w:pPr>
        <w:rPr>
          <w:rFonts w:cs="Arial"/>
          <w:lang w:eastAsia="x-none"/>
        </w:rPr>
      </w:pPr>
      <w:r w:rsidRPr="00616BEE">
        <w:rPr>
          <w:rFonts w:cs="Arial"/>
          <w:lang w:eastAsia="x-none"/>
        </w:rPr>
        <w:t>In RAN2#10</w:t>
      </w:r>
      <w:r w:rsidR="00616BEE" w:rsidRPr="00616BEE">
        <w:rPr>
          <w:rFonts w:cs="Arial"/>
          <w:lang w:eastAsia="x-none"/>
        </w:rPr>
        <w:t>6</w:t>
      </w:r>
      <w:r w:rsidRPr="00616BEE">
        <w:rPr>
          <w:rFonts w:cs="Arial"/>
          <w:lang w:eastAsia="x-none"/>
        </w:rPr>
        <w:t>, the following agreement were made [</w:t>
      </w:r>
      <w:r w:rsidR="00616BEE">
        <w:rPr>
          <w:rFonts w:cs="Arial"/>
          <w:lang w:eastAsia="x-none"/>
        </w:rPr>
        <w:t>1</w:t>
      </w:r>
      <w:r w:rsidRPr="00616BEE">
        <w:rPr>
          <w:rFonts w:cs="Arial"/>
          <w:lang w:eastAsia="x-none"/>
        </w:rPr>
        <w:t>]:</w:t>
      </w:r>
    </w:p>
    <w:tbl>
      <w:tblPr>
        <w:tblStyle w:val="af0"/>
        <w:tblW w:w="0" w:type="auto"/>
        <w:tblLook w:val="04A0" w:firstRow="1" w:lastRow="0" w:firstColumn="1" w:lastColumn="0" w:noHBand="0" w:noVBand="1"/>
      </w:tblPr>
      <w:tblGrid>
        <w:gridCol w:w="9629"/>
      </w:tblGrid>
      <w:tr w:rsidR="00F24E9F" w:rsidRPr="00616BEE" w14:paraId="401D133B" w14:textId="77777777" w:rsidTr="00672377">
        <w:tc>
          <w:tcPr>
            <w:tcW w:w="9629" w:type="dxa"/>
          </w:tcPr>
          <w:p w14:paraId="7974AF00" w14:textId="205C863C" w:rsidR="00F24E9F" w:rsidRPr="00616BEE" w:rsidRDefault="00F24E9F" w:rsidP="00672377">
            <w:pPr>
              <w:rPr>
                <w:rFonts w:eastAsia="MS Mincho" w:cs="Arial"/>
                <w:b/>
                <w:lang w:val="en-US" w:eastAsia="en-GB"/>
              </w:rPr>
            </w:pPr>
            <w:r w:rsidRPr="00616BEE">
              <w:rPr>
                <w:rFonts w:eastAsia="MS Mincho" w:cs="Arial"/>
                <w:b/>
                <w:lang w:val="en-US" w:eastAsia="en-GB"/>
              </w:rPr>
              <w:t>RAN2#10</w:t>
            </w:r>
            <w:r w:rsidR="00616BEE" w:rsidRPr="00616BEE">
              <w:rPr>
                <w:rFonts w:eastAsia="MS Mincho" w:cs="Arial"/>
                <w:b/>
                <w:lang w:val="en-US" w:eastAsia="en-GB"/>
              </w:rPr>
              <w:t>6</w:t>
            </w:r>
            <w:r w:rsidRPr="00616BEE">
              <w:rPr>
                <w:rFonts w:eastAsia="MS Mincho" w:cs="Arial"/>
                <w:b/>
                <w:lang w:val="en-US" w:eastAsia="en-GB"/>
              </w:rPr>
              <w:t xml:space="preserve"> Agreements</w:t>
            </w:r>
          </w:p>
          <w:p w14:paraId="33212206"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 xml:space="preserve">RA type selection is NOT left up to UE implementation.  </w:t>
            </w:r>
          </w:p>
          <w:p w14:paraId="19230CFC"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 xml:space="preserve">If the UE is configured with 2-step RA, the RSRP is above a configurable threshold then the UE shall use the 2-step RA procedure.  </w:t>
            </w:r>
          </w:p>
          <w:p w14:paraId="70B5D9FD" w14:textId="77777777" w:rsidR="00616BEE" w:rsidRPr="00616BEE" w:rsidRDefault="00616BEE" w:rsidP="00616BEE">
            <w:pPr>
              <w:pStyle w:val="Doc-text2"/>
              <w:numPr>
                <w:ilvl w:val="0"/>
                <w:numId w:val="36"/>
              </w:numPr>
              <w:tabs>
                <w:tab w:val="left" w:pos="608"/>
              </w:tabs>
              <w:rPr>
                <w:rFonts w:cs="Arial"/>
                <w:b/>
                <w:i/>
                <w:szCs w:val="20"/>
                <w:lang w:val="en-US"/>
              </w:rPr>
            </w:pPr>
            <w:r w:rsidRPr="00616BEE">
              <w:rPr>
                <w:rFonts w:cs="Arial"/>
                <w:b/>
                <w:i/>
                <w:szCs w:val="20"/>
                <w:lang w:val="en-US"/>
              </w:rPr>
              <w:t>2-step RA type selection is done after carrier type selection (UL/SUL).  FFS if we have separate threshold for different carriers (UL/SUL)</w:t>
            </w:r>
          </w:p>
          <w:p w14:paraId="63B55F7C" w14:textId="200AF7CE" w:rsidR="00F24E9F" w:rsidRPr="00CF38B8" w:rsidRDefault="00F24E9F" w:rsidP="0020169A">
            <w:pPr>
              <w:pStyle w:val="Doc-text2"/>
              <w:spacing w:line="276" w:lineRule="auto"/>
              <w:ind w:left="0" w:firstLine="0"/>
              <w:rPr>
                <w:rFonts w:cs="Arial"/>
                <w:szCs w:val="20"/>
                <w:lang w:val="en-US" w:eastAsia="x-none"/>
              </w:rPr>
            </w:pPr>
          </w:p>
        </w:tc>
      </w:tr>
    </w:tbl>
    <w:p w14:paraId="3E2C6DCF" w14:textId="77777777" w:rsidR="00F24E9F" w:rsidRPr="00616BEE" w:rsidRDefault="00F24E9F" w:rsidP="003C1556">
      <w:pPr>
        <w:rPr>
          <w:rFonts w:cs="Arial"/>
          <w:lang w:eastAsia="x-none"/>
        </w:rPr>
      </w:pPr>
    </w:p>
    <w:p w14:paraId="061CC2AE" w14:textId="2749A53A" w:rsidR="00616BEE" w:rsidRPr="00616BEE" w:rsidRDefault="00616BEE" w:rsidP="003C1556">
      <w:pPr>
        <w:rPr>
          <w:rFonts w:cs="Arial"/>
          <w:lang w:eastAsia="x-none"/>
        </w:rPr>
      </w:pPr>
      <w:r w:rsidRPr="00616BEE">
        <w:rPr>
          <w:rFonts w:cs="Arial"/>
          <w:lang w:eastAsia="x-none"/>
        </w:rPr>
        <w:t>In RAN2#97, the following agreement was made during email discussion</w:t>
      </w:r>
      <w:r>
        <w:rPr>
          <w:rFonts w:cs="Arial"/>
          <w:lang w:eastAsia="x-none"/>
        </w:rPr>
        <w:t xml:space="preserve"> [2]</w:t>
      </w:r>
      <w:r w:rsidRPr="00616BEE">
        <w:rPr>
          <w:rFonts w:cs="Arial"/>
          <w:lang w:eastAsia="x-none"/>
        </w:rPr>
        <w:t>.</w:t>
      </w:r>
    </w:p>
    <w:tbl>
      <w:tblPr>
        <w:tblStyle w:val="af0"/>
        <w:tblW w:w="0" w:type="auto"/>
        <w:tblLook w:val="04A0" w:firstRow="1" w:lastRow="0" w:firstColumn="1" w:lastColumn="0" w:noHBand="0" w:noVBand="1"/>
      </w:tblPr>
      <w:tblGrid>
        <w:gridCol w:w="9629"/>
      </w:tblGrid>
      <w:tr w:rsidR="00616BEE" w:rsidRPr="00616BEE" w14:paraId="259C478B" w14:textId="77777777" w:rsidTr="00616BEE">
        <w:tc>
          <w:tcPr>
            <w:tcW w:w="9629" w:type="dxa"/>
          </w:tcPr>
          <w:p w14:paraId="07057A26" w14:textId="77777777" w:rsidR="00CC362B" w:rsidRPr="0012722A" w:rsidRDefault="00CC362B" w:rsidP="00CC362B">
            <w:pPr>
              <w:rPr>
                <w:lang w:eastAsia="x-none"/>
              </w:rPr>
            </w:pPr>
            <w:r w:rsidRPr="0012722A">
              <w:rPr>
                <w:highlight w:val="green"/>
                <w:lang w:eastAsia="x-none"/>
              </w:rPr>
              <w:t>Agreements</w:t>
            </w:r>
            <w:r w:rsidRPr="0012722A">
              <w:rPr>
                <w:lang w:eastAsia="x-none"/>
              </w:rPr>
              <w:t>:</w:t>
            </w:r>
          </w:p>
          <w:p w14:paraId="782BB913" w14:textId="77777777" w:rsidR="00CC362B" w:rsidRPr="00CC362B" w:rsidRDefault="00CC362B" w:rsidP="00CC362B">
            <w:pPr>
              <w:pStyle w:val="a8"/>
              <w:numPr>
                <w:ilvl w:val="0"/>
                <w:numId w:val="46"/>
              </w:numPr>
              <w:overflowPunct/>
              <w:autoSpaceDE/>
              <w:autoSpaceDN/>
              <w:adjustRightInd/>
              <w:spacing w:after="0"/>
              <w:jc w:val="left"/>
              <w:textAlignment w:val="auto"/>
              <w:rPr>
                <w:rFonts w:eastAsia="宋体"/>
                <w:b/>
                <w:i/>
              </w:rPr>
            </w:pPr>
            <w:r w:rsidRPr="00CC362B">
              <w:rPr>
                <w:b/>
                <w:bCs/>
                <w:i/>
              </w:rPr>
              <w:t xml:space="preserve">The following parameters are further defined per msgA PUSCH configuration </w:t>
            </w:r>
          </w:p>
          <w:p w14:paraId="406813B9" w14:textId="77777777" w:rsidR="00CC362B" w:rsidRPr="00CC362B" w:rsidRDefault="00CC362B" w:rsidP="00CC362B">
            <w:pPr>
              <w:pStyle w:val="a8"/>
              <w:numPr>
                <w:ilvl w:val="1"/>
                <w:numId w:val="46"/>
              </w:numPr>
              <w:overflowPunct/>
              <w:autoSpaceDE/>
              <w:autoSpaceDN/>
              <w:adjustRightInd/>
              <w:spacing w:after="0"/>
              <w:jc w:val="left"/>
              <w:textAlignment w:val="auto"/>
              <w:rPr>
                <w:rFonts w:eastAsia="宋体"/>
                <w:b/>
                <w:i/>
              </w:rPr>
            </w:pPr>
            <w:r w:rsidRPr="00CC362B">
              <w:rPr>
                <w:b/>
                <w:i/>
              </w:rPr>
              <w:t>Common parameters for both option 1 (separate configuration) and option 2 (relative location)</w:t>
            </w:r>
          </w:p>
          <w:p w14:paraId="73C989E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Number of slots (in active UL BWP numerology) containing one or multiple POs</w:t>
            </w:r>
            <w:r w:rsidRPr="00CC362B">
              <w:rPr>
                <w:rFonts w:eastAsia="宋体"/>
                <w:b/>
                <w:i/>
              </w:rPr>
              <w:t>, each slot has the same time domain resource allocation</w:t>
            </w:r>
          </w:p>
          <w:p w14:paraId="15BD549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Number of time domain POs in each slot</w:t>
            </w:r>
          </w:p>
          <w:p w14:paraId="1B63ED45"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b/>
                <w:i/>
              </w:rPr>
              <w:t>POs including guard period are contiguous in time domain within a slot</w:t>
            </w:r>
          </w:p>
          <w:p w14:paraId="6392288F"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SLIV-based, indicating the start symbol of the first PO in each slot, and the number of occupied symbols of each PO in time domain</w:t>
            </w:r>
          </w:p>
          <w:p w14:paraId="792AF480"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rFonts w:eastAsia="宋体"/>
                <w:b/>
                <w:i/>
              </w:rPr>
              <w:t>the number of occupied symbols excludes the guard period</w:t>
            </w:r>
          </w:p>
          <w:p w14:paraId="7FF2CAA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PUSCH mapping type A or B</w:t>
            </w:r>
          </w:p>
          <w:p w14:paraId="205682E7"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 xml:space="preserve">Configurable </w:t>
            </w:r>
            <w:r w:rsidRPr="00CC362B">
              <w:rPr>
                <w:b/>
                <w:i/>
              </w:rPr>
              <w:t>guard period, value range in the unit of symbols FFS</w:t>
            </w:r>
          </w:p>
          <w:p w14:paraId="31E89DFA"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rFonts w:eastAsia="宋体"/>
                <w:b/>
                <w:i/>
              </w:rPr>
              <w:t>Frequency start point with respect to the first PRB of the active UL BWP</w:t>
            </w:r>
          </w:p>
          <w:p w14:paraId="01E52510" w14:textId="631E1AE5" w:rsidR="00CC362B" w:rsidRPr="004D7F7F"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rFonts w:eastAsia="宋体"/>
                <w:b/>
                <w:i/>
              </w:rPr>
              <w:t>FFS: configurable PRB-level guard band, up to 1 PRB</w:t>
            </w:r>
          </w:p>
          <w:p w14:paraId="4ECB8EDC" w14:textId="77777777" w:rsidR="00CC362B" w:rsidRPr="00DA4671" w:rsidRDefault="00CC362B" w:rsidP="00CC362B">
            <w:pPr>
              <w:rPr>
                <w:lang w:eastAsia="x-none"/>
              </w:rPr>
            </w:pPr>
            <w:r w:rsidRPr="00DA4671">
              <w:rPr>
                <w:highlight w:val="green"/>
                <w:lang w:eastAsia="x-none"/>
              </w:rPr>
              <w:t>Agreements</w:t>
            </w:r>
            <w:r w:rsidRPr="00DA4671">
              <w:rPr>
                <w:lang w:eastAsia="x-none"/>
              </w:rPr>
              <w:t>:</w:t>
            </w:r>
          </w:p>
          <w:p w14:paraId="723462AA" w14:textId="77777777" w:rsidR="00CC362B" w:rsidRPr="00CC362B" w:rsidRDefault="00CC362B" w:rsidP="00CC362B">
            <w:pPr>
              <w:pStyle w:val="a8"/>
              <w:numPr>
                <w:ilvl w:val="1"/>
                <w:numId w:val="46"/>
              </w:numPr>
              <w:overflowPunct/>
              <w:autoSpaceDE/>
              <w:autoSpaceDN/>
              <w:adjustRightInd/>
              <w:spacing w:after="0"/>
              <w:jc w:val="left"/>
              <w:textAlignment w:val="auto"/>
              <w:rPr>
                <w:rFonts w:eastAsia="宋体"/>
                <w:b/>
                <w:i/>
              </w:rPr>
            </w:pPr>
            <w:r w:rsidRPr="00CC362B">
              <w:rPr>
                <w:rFonts w:eastAsia="宋体"/>
                <w:b/>
                <w:i/>
              </w:rPr>
              <w:t>At least s</w:t>
            </w:r>
            <w:r w:rsidRPr="00CC362B">
              <w:rPr>
                <w:rFonts w:eastAsia="宋体" w:hint="eastAsia"/>
                <w:b/>
                <w:i/>
              </w:rPr>
              <w:t xml:space="preserve">upport same </w:t>
            </w:r>
            <w:r w:rsidRPr="00CC362B">
              <w:rPr>
                <w:rFonts w:eastAsia="宋体"/>
                <w:b/>
                <w:i/>
              </w:rPr>
              <w:t xml:space="preserve">configuration </w:t>
            </w:r>
            <w:r w:rsidRPr="00CC362B">
              <w:rPr>
                <w:rFonts w:eastAsia="宋体" w:hint="eastAsia"/>
                <w:b/>
                <w:i/>
              </w:rPr>
              <w:t xml:space="preserve">periodicity </w:t>
            </w:r>
            <w:r w:rsidRPr="00CC362B">
              <w:rPr>
                <w:rFonts w:eastAsia="宋体"/>
                <w:b/>
                <w:i/>
              </w:rPr>
              <w:t>for</w:t>
            </w:r>
            <w:r w:rsidRPr="00CC362B">
              <w:rPr>
                <w:rFonts w:eastAsia="宋体" w:hint="eastAsia"/>
                <w:b/>
                <w:i/>
              </w:rPr>
              <w:t xml:space="preserve"> msgA PRACH and PUSCH</w:t>
            </w:r>
          </w:p>
          <w:p w14:paraId="5EBA154F"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Single t</w:t>
            </w:r>
            <w:r w:rsidRPr="00CC362B">
              <w:rPr>
                <w:rFonts w:hint="eastAsia"/>
                <w:b/>
                <w:i/>
              </w:rPr>
              <w:t>ime offset</w:t>
            </w:r>
            <w:r w:rsidRPr="00CC362B">
              <w:rPr>
                <w:b/>
                <w:i/>
              </w:rPr>
              <w:t xml:space="preserve"> with respect to the start of each PRACH slot, counted as the number of slots (based on the numerology of active UL BWP) </w:t>
            </w:r>
          </w:p>
          <w:p w14:paraId="23D053CA" w14:textId="77777777" w:rsidR="00CC362B" w:rsidRPr="00CC362B" w:rsidRDefault="00CC362B" w:rsidP="00CC362B">
            <w:pPr>
              <w:pStyle w:val="a8"/>
              <w:numPr>
                <w:ilvl w:val="3"/>
                <w:numId w:val="46"/>
              </w:numPr>
              <w:overflowPunct/>
              <w:autoSpaceDE/>
              <w:autoSpaceDN/>
              <w:adjustRightInd/>
              <w:spacing w:after="0"/>
              <w:jc w:val="left"/>
              <w:textAlignment w:val="auto"/>
              <w:rPr>
                <w:rFonts w:eastAsia="宋体"/>
                <w:b/>
                <w:i/>
              </w:rPr>
            </w:pPr>
            <w:r w:rsidRPr="00CC362B">
              <w:rPr>
                <w:b/>
                <w:i/>
              </w:rPr>
              <w:t>Note: The symbol level offset is implied in SLIV-based indication</w:t>
            </w:r>
          </w:p>
          <w:p w14:paraId="0A2B28EE" w14:textId="77777777" w:rsidR="00CC362B" w:rsidRPr="00CC362B" w:rsidRDefault="00CC362B" w:rsidP="00CC362B">
            <w:pPr>
              <w:pStyle w:val="a8"/>
              <w:numPr>
                <w:ilvl w:val="2"/>
                <w:numId w:val="46"/>
              </w:numPr>
              <w:overflowPunct/>
              <w:autoSpaceDE/>
              <w:autoSpaceDN/>
              <w:adjustRightInd/>
              <w:spacing w:after="0"/>
              <w:jc w:val="left"/>
              <w:textAlignment w:val="auto"/>
              <w:rPr>
                <w:rFonts w:eastAsia="宋体"/>
                <w:b/>
                <w:i/>
              </w:rPr>
            </w:pPr>
            <w:r w:rsidRPr="00CC362B">
              <w:rPr>
                <w:b/>
                <w:i/>
              </w:rPr>
              <w:t>FFS how to handle the overlapping between POs</w:t>
            </w:r>
          </w:p>
          <w:p w14:paraId="0D20279C" w14:textId="14265F6C" w:rsidR="00CC362B" w:rsidRPr="0020169A" w:rsidRDefault="00CC362B" w:rsidP="0020169A">
            <w:pPr>
              <w:pStyle w:val="a8"/>
              <w:numPr>
                <w:ilvl w:val="2"/>
                <w:numId w:val="46"/>
              </w:numPr>
              <w:overflowPunct/>
              <w:autoSpaceDE/>
              <w:autoSpaceDN/>
              <w:adjustRightInd/>
              <w:spacing w:after="0"/>
              <w:jc w:val="left"/>
              <w:textAlignment w:val="auto"/>
              <w:rPr>
                <w:rFonts w:cs="Arial"/>
                <w:lang w:eastAsia="x-none"/>
              </w:rPr>
            </w:pPr>
            <w:r w:rsidRPr="00CC362B">
              <w:rPr>
                <w:rFonts w:eastAsia="宋体"/>
                <w:b/>
                <w:i/>
              </w:rPr>
              <w:t>FFS whether and how to s</w:t>
            </w:r>
            <w:r w:rsidRPr="00CC362B">
              <w:rPr>
                <w:rFonts w:eastAsia="宋体" w:hint="eastAsia"/>
                <w:b/>
                <w:i/>
              </w:rPr>
              <w:t xml:space="preserve">upport </w:t>
            </w:r>
            <w:r w:rsidRPr="00CC362B">
              <w:rPr>
                <w:rFonts w:eastAsia="宋体"/>
                <w:b/>
                <w:i/>
              </w:rPr>
              <w:t>different</w:t>
            </w:r>
            <w:r w:rsidRPr="00CC362B">
              <w:rPr>
                <w:rFonts w:eastAsia="宋体" w:hint="eastAsia"/>
                <w:b/>
                <w:i/>
              </w:rPr>
              <w:t xml:space="preserve"> </w:t>
            </w:r>
            <w:r w:rsidRPr="00CC362B">
              <w:rPr>
                <w:rFonts w:eastAsia="宋体"/>
                <w:b/>
                <w:i/>
              </w:rPr>
              <w:t xml:space="preserve">configuration </w:t>
            </w:r>
            <w:r w:rsidRPr="00CC362B">
              <w:rPr>
                <w:rFonts w:eastAsia="宋体" w:hint="eastAsia"/>
                <w:b/>
                <w:i/>
              </w:rPr>
              <w:t>periodicities</w:t>
            </w:r>
          </w:p>
        </w:tc>
      </w:tr>
    </w:tbl>
    <w:p w14:paraId="18654C61" w14:textId="77777777" w:rsidR="00616BEE" w:rsidRPr="00616BEE" w:rsidRDefault="00616BEE" w:rsidP="003C1556">
      <w:pPr>
        <w:rPr>
          <w:rFonts w:cs="Arial"/>
          <w:lang w:eastAsia="x-none"/>
        </w:rPr>
      </w:pPr>
    </w:p>
    <w:p w14:paraId="11A40B4E" w14:textId="6874A76B" w:rsidR="003C1556" w:rsidRPr="00616BEE" w:rsidRDefault="00964A06" w:rsidP="003C1556">
      <w:pPr>
        <w:rPr>
          <w:rFonts w:cs="Arial"/>
          <w:lang w:val="en-US"/>
        </w:rPr>
      </w:pPr>
      <w:r w:rsidRPr="00616BEE">
        <w:rPr>
          <w:rFonts w:cs="Arial"/>
          <w:lang w:eastAsia="x-none"/>
        </w:rPr>
        <w:t xml:space="preserve">In this paper, </w:t>
      </w:r>
      <w:r w:rsidRPr="00616BEE">
        <w:rPr>
          <w:rFonts w:cs="Arial"/>
          <w:lang w:val="en-US"/>
        </w:rPr>
        <w:t>w</w:t>
      </w:r>
      <w:r w:rsidR="00815B98" w:rsidRPr="00616BEE">
        <w:rPr>
          <w:rFonts w:cs="Arial"/>
          <w:lang w:val="en-US"/>
        </w:rPr>
        <w:t>e</w:t>
      </w:r>
      <w:r w:rsidR="00F24E9F" w:rsidRPr="00616BEE">
        <w:rPr>
          <w:rFonts w:cs="Arial"/>
          <w:lang w:val="en-US"/>
        </w:rPr>
        <w:t xml:space="preserve"> further</w:t>
      </w:r>
      <w:r w:rsidR="00815B98" w:rsidRPr="00616BEE">
        <w:rPr>
          <w:rFonts w:cs="Arial"/>
          <w:lang w:val="en-US"/>
        </w:rPr>
        <w:t xml:space="preserve"> </w:t>
      </w:r>
      <w:r w:rsidR="0054568F" w:rsidRPr="00616BEE">
        <w:rPr>
          <w:rFonts w:cs="Arial"/>
          <w:lang w:val="en-US"/>
        </w:rPr>
        <w:t>discuss</w:t>
      </w:r>
      <w:r w:rsidR="00CC362B">
        <w:rPr>
          <w:rFonts w:cs="Arial"/>
          <w:lang w:val="en-US"/>
        </w:rPr>
        <w:t xml:space="preserve"> issues related to</w:t>
      </w:r>
      <w:r w:rsidR="0054568F" w:rsidRPr="00616BEE">
        <w:rPr>
          <w:rFonts w:cs="Arial"/>
          <w:lang w:val="en-US"/>
        </w:rPr>
        <w:t xml:space="preserve"> </w:t>
      </w:r>
      <w:r w:rsidR="00616BEE">
        <w:rPr>
          <w:rFonts w:cs="Arial"/>
          <w:lang w:val="en-US"/>
        </w:rPr>
        <w:t>MsgA resource configuration and selection</w:t>
      </w:r>
      <w:r w:rsidR="00CC362B">
        <w:rPr>
          <w:rFonts w:cs="Arial"/>
          <w:lang w:val="en-US"/>
        </w:rPr>
        <w:t xml:space="preserve"> (including BWP)</w:t>
      </w:r>
      <w:r w:rsidR="00F24E9F" w:rsidRPr="00616BEE">
        <w:rPr>
          <w:rFonts w:cs="Arial"/>
          <w:lang w:val="en-US"/>
        </w:rPr>
        <w:t xml:space="preserve"> based on the above agreements</w:t>
      </w:r>
      <w:r w:rsidR="00D62075" w:rsidRPr="00616BEE">
        <w:rPr>
          <w:rFonts w:cs="Arial"/>
          <w:lang w:val="en-US"/>
        </w:rPr>
        <w:t xml:space="preserve"> </w:t>
      </w:r>
      <w:r w:rsidR="00827E21" w:rsidRPr="00616BEE">
        <w:rPr>
          <w:rFonts w:cs="Arial"/>
          <w:lang w:val="en-US"/>
        </w:rPr>
        <w:t xml:space="preserve">and </w:t>
      </w:r>
      <w:r w:rsidR="00D62075" w:rsidRPr="00616BEE">
        <w:rPr>
          <w:rFonts w:cs="Arial"/>
          <w:lang w:val="en-US"/>
        </w:rPr>
        <w:t>provide our consideration</w:t>
      </w:r>
      <w:r w:rsidR="00185C29" w:rsidRPr="00616BEE">
        <w:rPr>
          <w:rFonts w:cs="Arial"/>
          <w:lang w:val="en-US"/>
        </w:rPr>
        <w:t>s</w:t>
      </w:r>
      <w:r w:rsidR="00827E21" w:rsidRPr="00616BEE">
        <w:rPr>
          <w:rFonts w:cs="Arial"/>
          <w:lang w:val="en-US"/>
        </w:rPr>
        <w:t>.</w:t>
      </w:r>
    </w:p>
    <w:p w14:paraId="14B2358C" w14:textId="5AED8344" w:rsidR="00E94DCD" w:rsidRDefault="00E94DCD" w:rsidP="00FE5395">
      <w:pPr>
        <w:pStyle w:val="1"/>
        <w:rPr>
          <w:rFonts w:eastAsiaTheme="minorEastAsia"/>
        </w:rPr>
      </w:pPr>
      <w:r>
        <w:rPr>
          <w:rFonts w:eastAsiaTheme="minorEastAsia"/>
        </w:rPr>
        <w:t>MsgA resource selection</w:t>
      </w:r>
    </w:p>
    <w:p w14:paraId="6358A637" w14:textId="7E447DA6" w:rsidR="00E94DCD" w:rsidRDefault="00E94DCD" w:rsidP="00907590">
      <w:pPr>
        <w:rPr>
          <w:rFonts w:eastAsiaTheme="minorEastAsia"/>
        </w:rPr>
      </w:pPr>
      <w:r>
        <w:rPr>
          <w:rFonts w:eastAsiaTheme="minorEastAsia"/>
        </w:rPr>
        <w:t>After the msgA configuration selection</w:t>
      </w:r>
      <w:r w:rsidR="00907590">
        <w:rPr>
          <w:rFonts w:eastAsiaTheme="minorEastAsia"/>
        </w:rPr>
        <w:t xml:space="preserve"> based on defined rules</w:t>
      </w:r>
      <w:r>
        <w:rPr>
          <w:rFonts w:eastAsiaTheme="minorEastAsia"/>
        </w:rPr>
        <w:t xml:space="preserve">, the UE needs to select </w:t>
      </w:r>
      <w:r w:rsidR="00907590">
        <w:rPr>
          <w:rFonts w:eastAsiaTheme="minorEastAsia"/>
        </w:rPr>
        <w:t>an</w:t>
      </w:r>
      <w:r>
        <w:rPr>
          <w:rFonts w:eastAsiaTheme="minorEastAsia"/>
        </w:rPr>
        <w:t xml:space="preserve"> msgA resource among the resources configured by the</w:t>
      </w:r>
      <w:r w:rsidR="00907590">
        <w:rPr>
          <w:rFonts w:eastAsiaTheme="minorEastAsia"/>
        </w:rPr>
        <w:t xml:space="preserve"> selected msgA configuration. RAN1 </w:t>
      </w:r>
      <w:r w:rsidR="00092702">
        <w:rPr>
          <w:rFonts w:eastAsiaTheme="minorEastAsia"/>
        </w:rPr>
        <w:t>has</w:t>
      </w:r>
      <w:r w:rsidR="00907590">
        <w:rPr>
          <w:rFonts w:eastAsiaTheme="minorEastAsia"/>
        </w:rPr>
        <w:t xml:space="preserve"> discussed that the part of </w:t>
      </w:r>
      <w:r w:rsidR="00907590">
        <w:rPr>
          <w:rFonts w:eastAsiaTheme="minorEastAsia"/>
        </w:rPr>
        <w:lastRenderedPageBreak/>
        <w:t xml:space="preserve">msgA resource within the selected msgA configuration may be invalid in TDD cell due to direction of slot </w:t>
      </w:r>
      <w:r w:rsidR="00092702">
        <w:rPr>
          <w:rFonts w:eastAsiaTheme="minorEastAsia"/>
        </w:rPr>
        <w:t>being</w:t>
      </w:r>
      <w:r w:rsidR="00907590">
        <w:rPr>
          <w:rFonts w:eastAsiaTheme="minorEastAsia"/>
        </w:rPr>
        <w:t xml:space="preserve"> flexible</w:t>
      </w:r>
      <w:r w:rsidR="002C392C">
        <w:rPr>
          <w:rFonts w:eastAsiaTheme="minorEastAsia"/>
        </w:rPr>
        <w:t xml:space="preserve"> and</w:t>
      </w:r>
      <w:r w:rsidR="00907590">
        <w:rPr>
          <w:rFonts w:eastAsiaTheme="minorEastAsia"/>
        </w:rPr>
        <w:t xml:space="preserve"> can be determined by a DCI. The following agreement was made for 2-step RACH ROs. However</w:t>
      </w:r>
      <w:r w:rsidR="00F43335">
        <w:rPr>
          <w:rFonts w:eastAsiaTheme="minorEastAsia"/>
        </w:rPr>
        <w:t>, the</w:t>
      </w:r>
      <w:r w:rsidR="00907590">
        <w:rPr>
          <w:rFonts w:eastAsiaTheme="minorEastAsia"/>
        </w:rPr>
        <w:t xml:space="preserve"> rule for invalidating 2-step RACH</w:t>
      </w:r>
      <w:r w:rsidR="00C44554">
        <w:rPr>
          <w:rFonts w:eastAsiaTheme="minorEastAsia"/>
        </w:rPr>
        <w:t xml:space="preserve"> </w:t>
      </w:r>
      <w:r w:rsidR="00F43335">
        <w:rPr>
          <w:rFonts w:eastAsiaTheme="minorEastAsia"/>
        </w:rPr>
        <w:t>PUSCH occasion</w:t>
      </w:r>
      <w:r w:rsidR="009F50FA">
        <w:rPr>
          <w:rFonts w:eastAsiaTheme="minorEastAsia"/>
        </w:rPr>
        <w:t xml:space="preserve"> (PO)</w:t>
      </w:r>
      <w:r w:rsidR="00907590">
        <w:rPr>
          <w:rFonts w:eastAsiaTheme="minorEastAsia"/>
        </w:rPr>
        <w:t xml:space="preserve"> is still FFS.</w:t>
      </w:r>
    </w:p>
    <w:tbl>
      <w:tblPr>
        <w:tblStyle w:val="af0"/>
        <w:tblW w:w="0" w:type="auto"/>
        <w:tblLook w:val="04A0" w:firstRow="1" w:lastRow="0" w:firstColumn="1" w:lastColumn="0" w:noHBand="0" w:noVBand="1"/>
      </w:tblPr>
      <w:tblGrid>
        <w:gridCol w:w="9629"/>
      </w:tblGrid>
      <w:tr w:rsidR="00907590" w14:paraId="42A72360" w14:textId="77777777" w:rsidTr="00907590">
        <w:tc>
          <w:tcPr>
            <w:tcW w:w="9629" w:type="dxa"/>
          </w:tcPr>
          <w:p w14:paraId="2104F1EB" w14:textId="77777777" w:rsidR="00907590" w:rsidRPr="006E125B" w:rsidRDefault="00907590" w:rsidP="00907590">
            <w:pPr>
              <w:rPr>
                <w:lang w:val="en-US" w:eastAsia="x-none"/>
              </w:rPr>
            </w:pPr>
            <w:r w:rsidRPr="006E125B">
              <w:rPr>
                <w:highlight w:val="green"/>
                <w:lang w:val="en-US" w:eastAsia="x-none"/>
              </w:rPr>
              <w:t>Agreements</w:t>
            </w:r>
            <w:r w:rsidRPr="006E125B">
              <w:rPr>
                <w:lang w:val="en-US" w:eastAsia="x-none"/>
              </w:rPr>
              <w:t>:</w:t>
            </w:r>
          </w:p>
          <w:p w14:paraId="55C18841" w14:textId="77777777" w:rsidR="00907590" w:rsidRPr="006E125B" w:rsidRDefault="00907590" w:rsidP="00907590">
            <w:pPr>
              <w:widowControl w:val="0"/>
              <w:numPr>
                <w:ilvl w:val="0"/>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The rules for a UE for invalidating 2-step RACH ROs follow the same rules that are used for the invalidation of 4-step RACH ROs as described in section 8.1 of TS 38.213.</w:t>
            </w:r>
          </w:p>
          <w:p w14:paraId="7C95152E" w14:textId="77777777" w:rsidR="00907590" w:rsidRPr="006E125B" w:rsidRDefault="00907590" w:rsidP="00907590">
            <w:pPr>
              <w:widowControl w:val="0"/>
              <w:numPr>
                <w:ilvl w:val="0"/>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FFS: For separately configured 2-step RACH and 4-step RACH ROs, if 2-step RACH ROs overlap with 4-step RACH ROs in time and frequency,</w:t>
            </w:r>
          </w:p>
          <w:p w14:paraId="7E5A714E" w14:textId="77777777" w:rsidR="00907590" w:rsidRPr="006E125B" w:rsidRDefault="00907590" w:rsidP="00907590">
            <w:pPr>
              <w:widowControl w:val="0"/>
              <w:numPr>
                <w:ilvl w:val="1"/>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Option 1: the 2-step RACH ROs become invalid.</w:t>
            </w:r>
          </w:p>
          <w:p w14:paraId="6EB9B73E" w14:textId="77777777" w:rsidR="00907590" w:rsidRPr="006E125B" w:rsidRDefault="00907590" w:rsidP="00907590">
            <w:pPr>
              <w:widowControl w:val="0"/>
              <w:numPr>
                <w:ilvl w:val="1"/>
                <w:numId w:val="47"/>
              </w:numPr>
              <w:overflowPunct/>
              <w:autoSpaceDE/>
              <w:autoSpaceDN/>
              <w:adjustRightInd/>
              <w:spacing w:after="0" w:line="259" w:lineRule="auto"/>
              <w:textAlignment w:val="auto"/>
              <w:rPr>
                <w:rFonts w:eastAsia="等线"/>
                <w:kern w:val="2"/>
                <w:lang w:val="en-US"/>
              </w:rPr>
            </w:pPr>
            <w:r w:rsidRPr="006E125B">
              <w:rPr>
                <w:rFonts w:eastAsia="等线"/>
                <w:kern w:val="2"/>
                <w:lang w:val="en-US"/>
              </w:rPr>
              <w:t>Option 2: This is not expected by UE.</w:t>
            </w:r>
          </w:p>
          <w:p w14:paraId="5179A476" w14:textId="5377615B" w:rsidR="00907590" w:rsidRDefault="00907590" w:rsidP="002C392C">
            <w:pPr>
              <w:widowControl w:val="0"/>
              <w:numPr>
                <w:ilvl w:val="1"/>
                <w:numId w:val="47"/>
              </w:numPr>
              <w:overflowPunct/>
              <w:autoSpaceDE/>
              <w:autoSpaceDN/>
              <w:adjustRightInd/>
              <w:spacing w:after="0" w:line="259" w:lineRule="auto"/>
              <w:textAlignment w:val="auto"/>
              <w:rPr>
                <w:rFonts w:eastAsiaTheme="minorEastAsia"/>
              </w:rPr>
            </w:pPr>
            <w:r w:rsidRPr="006E125B">
              <w:rPr>
                <w:rFonts w:eastAsia="等线"/>
                <w:kern w:val="2"/>
                <w:lang w:val="en-US"/>
              </w:rPr>
              <w:t>Other options are not precluded</w:t>
            </w:r>
          </w:p>
        </w:tc>
      </w:tr>
    </w:tbl>
    <w:p w14:paraId="469125EB" w14:textId="66967D2A" w:rsidR="00907590" w:rsidRDefault="00CF406E" w:rsidP="00907590">
      <w:pPr>
        <w:rPr>
          <w:rFonts w:eastAsiaTheme="minorEastAsia"/>
        </w:rPr>
      </w:pPr>
      <w:r>
        <w:rPr>
          <w:rFonts w:eastAsiaTheme="minorEastAsia" w:hint="eastAsia"/>
        </w:rPr>
        <w:t>I</w:t>
      </w:r>
      <w:r>
        <w:rPr>
          <w:rFonts w:eastAsiaTheme="minorEastAsia"/>
        </w:rPr>
        <w:t>n R15, the following specification has been given for the invalid PRACH occasion when selecting the RACH resource</w:t>
      </w:r>
      <w:r w:rsidR="00C31A87">
        <w:rPr>
          <w:rFonts w:eastAsiaTheme="minorEastAsia"/>
        </w:rPr>
        <w:t>, taking SSB as an example</w:t>
      </w:r>
      <w:r>
        <w:rPr>
          <w:rFonts w:eastAsiaTheme="minorEastAsia"/>
        </w:rPr>
        <w:t>:</w:t>
      </w:r>
    </w:p>
    <w:tbl>
      <w:tblPr>
        <w:tblStyle w:val="af0"/>
        <w:tblW w:w="0" w:type="auto"/>
        <w:tblLook w:val="04A0" w:firstRow="1" w:lastRow="0" w:firstColumn="1" w:lastColumn="0" w:noHBand="0" w:noVBand="1"/>
      </w:tblPr>
      <w:tblGrid>
        <w:gridCol w:w="9629"/>
      </w:tblGrid>
      <w:tr w:rsidR="00C31A87" w14:paraId="6390FD59" w14:textId="77777777" w:rsidTr="00C31A87">
        <w:tc>
          <w:tcPr>
            <w:tcW w:w="9629" w:type="dxa"/>
          </w:tcPr>
          <w:p w14:paraId="118792AB" w14:textId="77777777" w:rsidR="00C31A87" w:rsidRPr="00C31A87" w:rsidRDefault="00C31A87" w:rsidP="00C31A87">
            <w:pPr>
              <w:overflowPunct/>
              <w:autoSpaceDE/>
              <w:autoSpaceDN/>
              <w:adjustRightInd/>
              <w:spacing w:after="180"/>
              <w:ind w:left="568" w:hanging="284"/>
              <w:jc w:val="left"/>
              <w:textAlignment w:val="auto"/>
              <w:rPr>
                <w:rFonts w:ascii="Times New Roman" w:eastAsia="Malgun Gothic" w:hAnsi="Times New Roman"/>
                <w:lang w:eastAsia="ko-KR"/>
              </w:rPr>
            </w:pPr>
            <w:r w:rsidRPr="00C31A87">
              <w:rPr>
                <w:rFonts w:ascii="Times New Roman" w:eastAsia="Malgun Gothic" w:hAnsi="Times New Roman"/>
                <w:lang w:eastAsia="ko-KR"/>
              </w:rPr>
              <w:t>1&gt;</w:t>
            </w:r>
            <w:r w:rsidRPr="00C31A87">
              <w:rPr>
                <w:rFonts w:ascii="Times New Roman" w:eastAsia="Malgun Gothic" w:hAnsi="Times New Roman"/>
                <w:lang w:eastAsia="ko-KR"/>
              </w:rPr>
              <w:tab/>
              <w:t>else if an SSB is selected above:</w:t>
            </w:r>
          </w:p>
          <w:p w14:paraId="64BA8BC5" w14:textId="7052CB9D" w:rsidR="00C31A87" w:rsidRPr="0020169A" w:rsidRDefault="00C31A87" w:rsidP="0020169A">
            <w:pPr>
              <w:overflowPunct/>
              <w:autoSpaceDE/>
              <w:autoSpaceDN/>
              <w:adjustRightInd/>
              <w:spacing w:after="180"/>
              <w:ind w:left="851" w:hanging="284"/>
              <w:jc w:val="left"/>
              <w:textAlignment w:val="auto"/>
              <w:rPr>
                <w:rFonts w:ascii="Times New Roman" w:eastAsia="Malgun Gothic" w:hAnsi="Times New Roman"/>
                <w:lang w:eastAsia="ko-KR"/>
              </w:rPr>
            </w:pPr>
            <w:r w:rsidRPr="00C31A87">
              <w:rPr>
                <w:rFonts w:ascii="Times New Roman" w:eastAsia="Malgun Gothic" w:hAnsi="Times New Roman"/>
                <w:lang w:eastAsia="ko-KR"/>
              </w:rPr>
              <w:t>2&gt;</w:t>
            </w:r>
            <w:r w:rsidRPr="00C31A87">
              <w:rPr>
                <w:rFonts w:ascii="Times New Roman" w:eastAsia="Malgun Gothic" w:hAnsi="Times New Roman"/>
                <w:lang w:eastAsia="ko-KR"/>
              </w:rPr>
              <w:tab/>
              <w:t xml:space="preserve">determine </w:t>
            </w:r>
            <w:r w:rsidRPr="0020169A">
              <w:rPr>
                <w:rFonts w:ascii="Times New Roman" w:eastAsia="Malgun Gothic" w:hAnsi="Times New Roman"/>
                <w:highlight w:val="yellow"/>
                <w:lang w:eastAsia="ko-KR"/>
              </w:rPr>
              <w:t>the next available PRACH occasion</w:t>
            </w:r>
            <w:r w:rsidRPr="00C31A87">
              <w:rPr>
                <w:rFonts w:ascii="Times New Roman" w:eastAsia="Malgun Gothic" w:hAnsi="Times New Roman"/>
                <w:lang w:eastAsia="ko-KR"/>
              </w:rPr>
              <w:t xml:space="preserve"> from the PRACH occasions corresponding to the selected SSB permitted by the restrictions given by the </w:t>
            </w:r>
            <w:r w:rsidRPr="00C31A87">
              <w:rPr>
                <w:rFonts w:ascii="Times New Roman" w:eastAsia="Malgun Gothic" w:hAnsi="Times New Roman"/>
                <w:i/>
                <w:lang w:eastAsia="ko-KR"/>
              </w:rPr>
              <w:t>ra-ssb-OccasionMaskIndex</w:t>
            </w:r>
            <w:r w:rsidRPr="00C31A87">
              <w:rPr>
                <w:rFonts w:ascii="Times New Roman" w:eastAsia="Malgun Gothic" w:hAnsi="Times New Roman"/>
                <w:lang w:eastAsia="ko-KR"/>
              </w:rPr>
              <w:t xml:space="preserve"> if configured or indicated by PDCCH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tc>
      </w:tr>
    </w:tbl>
    <w:p w14:paraId="250B7C28" w14:textId="67153AD4" w:rsidR="00CF406E" w:rsidRDefault="00CF406E" w:rsidP="00907590">
      <w:pPr>
        <w:rPr>
          <w:rFonts w:eastAsiaTheme="minorEastAsia"/>
        </w:rPr>
      </w:pPr>
    </w:p>
    <w:p w14:paraId="25DEB807" w14:textId="6F185CDE" w:rsidR="00907590" w:rsidRDefault="00907590" w:rsidP="00907590">
      <w:pPr>
        <w:rPr>
          <w:rFonts w:eastAsiaTheme="minorEastAsia"/>
        </w:rPr>
      </w:pPr>
      <w:r>
        <w:rPr>
          <w:rFonts w:eastAsiaTheme="minorEastAsia"/>
        </w:rPr>
        <w:t xml:space="preserve">When the UE select an invalid msgA resource (including RO and PO), more random access latencies occur due to the next msgA resource selection will be done after the msgB-window expires. </w:t>
      </w:r>
      <w:r w:rsidR="00CF406E">
        <w:rPr>
          <w:rFonts w:eastAsiaTheme="minorEastAsia"/>
        </w:rPr>
        <w:t xml:space="preserve">Hence, similar to the release-15 procedure towards the invalid PRACH occasion, when selecting msgA resource for transmission, the UE should also take into account the available RO and PO for msgA. </w:t>
      </w:r>
    </w:p>
    <w:p w14:paraId="458D4D3A" w14:textId="3720D406" w:rsidR="00907590" w:rsidRPr="002C392C" w:rsidRDefault="00907590" w:rsidP="00907590">
      <w:pPr>
        <w:rPr>
          <w:rFonts w:eastAsiaTheme="minorEastAsia"/>
          <w:b/>
        </w:rPr>
      </w:pPr>
      <w:bookmarkStart w:id="2" w:name="OLE_LINK16"/>
      <w:r w:rsidRPr="00521DB8">
        <w:rPr>
          <w:rFonts w:eastAsiaTheme="minorEastAsia"/>
          <w:b/>
        </w:rPr>
        <w:t xml:space="preserve">Proposal </w:t>
      </w:r>
      <w:r w:rsidR="000D51F1">
        <w:rPr>
          <w:rFonts w:eastAsiaTheme="minorEastAsia"/>
          <w:b/>
        </w:rPr>
        <w:t>1</w:t>
      </w:r>
      <w:r w:rsidRPr="00521DB8">
        <w:rPr>
          <w:rFonts w:eastAsiaTheme="minorEastAsia"/>
          <w:b/>
        </w:rPr>
        <w:t xml:space="preserve">: </w:t>
      </w:r>
      <w:r w:rsidRPr="0020169A">
        <w:rPr>
          <w:b/>
          <w:lang w:eastAsia="ko-KR"/>
        </w:rPr>
        <w:t>MAC entity</w:t>
      </w:r>
      <w:r w:rsidR="00B91385">
        <w:rPr>
          <w:b/>
          <w:lang w:eastAsia="ko-KR"/>
        </w:rPr>
        <w:t xml:space="preserve"> should</w:t>
      </w:r>
      <w:r w:rsidRPr="0020169A">
        <w:rPr>
          <w:b/>
          <w:lang w:eastAsia="ko-KR"/>
        </w:rPr>
        <w:t xml:space="preserve"> take into account the possible </w:t>
      </w:r>
      <w:r w:rsidR="002C392C" w:rsidRPr="00521DB8">
        <w:rPr>
          <w:rFonts w:eastAsia="等线"/>
          <w:b/>
          <w:kern w:val="2"/>
          <w:lang w:val="en-US"/>
        </w:rPr>
        <w:t>invalidat</w:t>
      </w:r>
      <w:r w:rsidR="00730FD6" w:rsidRPr="00521DB8">
        <w:rPr>
          <w:rFonts w:eastAsia="等线"/>
          <w:b/>
          <w:kern w:val="2"/>
          <w:lang w:val="en-US"/>
        </w:rPr>
        <w:t>ed</w:t>
      </w:r>
      <w:r w:rsidR="002C392C" w:rsidRPr="00521DB8">
        <w:rPr>
          <w:rFonts w:eastAsia="等线"/>
          <w:b/>
          <w:kern w:val="2"/>
          <w:lang w:val="en-US"/>
        </w:rPr>
        <w:t xml:space="preserve"> </w:t>
      </w:r>
      <w:r w:rsidR="008E146D">
        <w:rPr>
          <w:rFonts w:eastAsia="等线"/>
          <w:b/>
          <w:kern w:val="2"/>
          <w:lang w:val="en-US"/>
        </w:rPr>
        <w:t>PUSCH</w:t>
      </w:r>
      <w:r w:rsidR="002C392C" w:rsidRPr="00521DB8">
        <w:rPr>
          <w:rFonts w:eastAsia="等线"/>
          <w:b/>
          <w:kern w:val="2"/>
          <w:lang w:val="en-US"/>
        </w:rPr>
        <w:t xml:space="preserve"> resource</w:t>
      </w:r>
      <w:r w:rsidRPr="0020169A">
        <w:rPr>
          <w:b/>
          <w:lang w:eastAsia="ko-KR"/>
        </w:rPr>
        <w:t xml:space="preserve"> when determining the </w:t>
      </w:r>
      <w:r w:rsidR="008E146D">
        <w:rPr>
          <w:b/>
          <w:lang w:eastAsia="ko-KR"/>
        </w:rPr>
        <w:t>PRACH</w:t>
      </w:r>
      <w:r w:rsidRPr="0020169A">
        <w:rPr>
          <w:b/>
          <w:lang w:eastAsia="ko-KR"/>
        </w:rPr>
        <w:t xml:space="preserve"> occasion</w:t>
      </w:r>
      <w:r w:rsidR="002C392C" w:rsidRPr="0020169A">
        <w:rPr>
          <w:b/>
          <w:lang w:eastAsia="ko-KR"/>
        </w:rPr>
        <w:t>.</w:t>
      </w:r>
      <w:r w:rsidRPr="0020169A">
        <w:rPr>
          <w:b/>
          <w:lang w:eastAsia="ko-KR"/>
        </w:rPr>
        <w:t xml:space="preserve"> </w:t>
      </w:r>
    </w:p>
    <w:bookmarkEnd w:id="2"/>
    <w:p w14:paraId="77C1EE97" w14:textId="28D915D6" w:rsidR="00621D13" w:rsidRPr="00A97354" w:rsidRDefault="00621D13" w:rsidP="00621D13">
      <w:pPr>
        <w:rPr>
          <w:rFonts w:cs="Arial"/>
        </w:rPr>
      </w:pPr>
      <w:r w:rsidRPr="00C30776">
        <w:rPr>
          <w:rFonts w:cs="Arial"/>
        </w:rPr>
        <w:t>There are two approaches for specifying the PUSCH resource</w:t>
      </w:r>
      <w:r w:rsidR="008C1F63">
        <w:rPr>
          <w:rFonts w:cs="Arial"/>
        </w:rPr>
        <w:t xml:space="preserve"> determination</w:t>
      </w:r>
      <w:r w:rsidRPr="00C30776">
        <w:rPr>
          <w:rFonts w:cs="Arial"/>
        </w:rPr>
        <w:t xml:space="preserve">: (a) specified in the MAC spec; (b) specified in the PHY spec. </w:t>
      </w:r>
      <w:r>
        <w:t>We think it is more proper to be specified in the MAC spec. This is customary for the current specification: if the grant reception is associated with DCI, the PUSCH time and frequency domain allocation is specified in the PHY spec, like in the Section 6.1.2 of TS 38.214 for PUSCH resource allocation. While if the grant is not associated with DCI, it is specified in the MAC spec, example includes configured grant type 1 and 2. Based on the above discussion, we propose the following</w:t>
      </w:r>
    </w:p>
    <w:p w14:paraId="75E8D60C" w14:textId="694D50E7" w:rsidR="000E331E" w:rsidRDefault="000E331E" w:rsidP="000E331E">
      <w:pPr>
        <w:pStyle w:val="20"/>
        <w:spacing w:after="0" w:line="240" w:lineRule="auto"/>
        <w:rPr>
          <w:b/>
        </w:rPr>
      </w:pPr>
      <w:bookmarkStart w:id="3" w:name="_Toc766283"/>
      <w:bookmarkStart w:id="4" w:name="_Toc868954"/>
      <w:bookmarkStart w:id="5" w:name="_Toc868994"/>
      <w:bookmarkStart w:id="6" w:name="_Toc878629"/>
      <w:bookmarkStart w:id="7" w:name="_Toc878642"/>
      <w:bookmarkStart w:id="8" w:name="_Toc878706"/>
      <w:bookmarkStart w:id="9" w:name="_Toc878720"/>
      <w:bookmarkStart w:id="10" w:name="_Toc878730"/>
      <w:bookmarkStart w:id="11" w:name="_Toc878761"/>
      <w:bookmarkStart w:id="12" w:name="_Toc766284"/>
      <w:bookmarkStart w:id="13" w:name="_Toc868955"/>
      <w:bookmarkStart w:id="14" w:name="_Toc868995"/>
      <w:bookmarkStart w:id="15" w:name="_Toc878630"/>
      <w:bookmarkStart w:id="16" w:name="_Toc878643"/>
      <w:bookmarkStart w:id="17" w:name="_Toc878707"/>
      <w:bookmarkStart w:id="18" w:name="_Toc878721"/>
      <w:bookmarkStart w:id="19" w:name="_Toc878731"/>
      <w:bookmarkStart w:id="20" w:name="_Toc878762"/>
      <w:bookmarkStart w:id="21" w:name="_Toc525565501"/>
      <w:bookmarkStart w:id="22" w:name="_Toc465844068"/>
      <w:bookmarkStart w:id="23" w:name="_Toc465844075"/>
      <w:bookmarkStart w:id="24" w:name="_Toc465844076"/>
      <w:bookmarkStart w:id="25" w:name="_Toc465844077"/>
      <w:bookmarkStart w:id="26" w:name="_Toc465844078"/>
      <w:bookmarkStart w:id="27" w:name="_Toc4658440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5771F">
        <w:rPr>
          <w:b/>
        </w:rPr>
        <w:t xml:space="preserve">Proposal </w:t>
      </w:r>
      <w:r w:rsidR="000D51F1">
        <w:rPr>
          <w:b/>
        </w:rPr>
        <w:t>2</w:t>
      </w:r>
      <w:r w:rsidRPr="00A5771F">
        <w:rPr>
          <w:b/>
        </w:rPr>
        <w:t>: The PUSCH resource</w:t>
      </w:r>
      <w:r>
        <w:rPr>
          <w:b/>
        </w:rPr>
        <w:t xml:space="preserve"> determination</w:t>
      </w:r>
      <w:r w:rsidRPr="00A5771F">
        <w:rPr>
          <w:b/>
        </w:rPr>
        <w:t xml:space="preserve"> for msgA payload in 2-step RACH is specified in the MAC spec. </w:t>
      </w:r>
    </w:p>
    <w:p w14:paraId="1A28E0C9" w14:textId="0CFEDD85" w:rsidR="005E0132" w:rsidRDefault="005E0132" w:rsidP="005E0132">
      <w:pPr>
        <w:pStyle w:val="1"/>
        <w:rPr>
          <w:lang w:val="en-US"/>
        </w:rPr>
      </w:pPr>
      <w:r>
        <w:rPr>
          <w:lang w:val="en-US"/>
        </w:rPr>
        <w:t>RA type selection</w:t>
      </w:r>
    </w:p>
    <w:p w14:paraId="2E7AEB29" w14:textId="128832E5" w:rsidR="005E0132" w:rsidRDefault="00AF4DF7" w:rsidP="005E0132">
      <w:pPr>
        <w:rPr>
          <w:rFonts w:eastAsiaTheme="minorEastAsia"/>
          <w:b/>
          <w:lang w:val="en-US"/>
        </w:rPr>
      </w:pPr>
      <w:r>
        <w:rPr>
          <w:rFonts w:eastAsiaTheme="minorEastAsia"/>
          <w:lang w:val="en-US"/>
        </w:rPr>
        <w:t xml:space="preserve">In the previous RAN2 meeting, we have agreed that all the triggers for CBRA 4-step RACH shall also be supported for 2-step RACH. </w:t>
      </w:r>
      <w:r w:rsidR="005E0132">
        <w:rPr>
          <w:rFonts w:eastAsiaTheme="minorEastAsia"/>
          <w:lang w:val="en-US"/>
        </w:rPr>
        <w:t>I</w:t>
      </w:r>
      <w:r w:rsidR="005E0132">
        <w:rPr>
          <w:rFonts w:eastAsiaTheme="minorEastAsia" w:hint="eastAsia"/>
          <w:lang w:val="en-US"/>
        </w:rPr>
        <w:t xml:space="preserve">n </w:t>
      </w:r>
      <w:r w:rsidR="00200869">
        <w:rPr>
          <w:rFonts w:eastAsiaTheme="minorEastAsia"/>
          <w:lang w:val="en-US"/>
        </w:rPr>
        <w:t xml:space="preserve">LTE and </w:t>
      </w:r>
      <w:r w:rsidR="005E0132">
        <w:rPr>
          <w:rFonts w:eastAsiaTheme="minorEastAsia" w:hint="eastAsia"/>
          <w:lang w:val="en-US"/>
        </w:rPr>
        <w:t xml:space="preserve">NR, </w:t>
      </w:r>
      <w:r w:rsidR="00200869">
        <w:rPr>
          <w:rFonts w:eastAsiaTheme="minorEastAsia"/>
          <w:lang w:val="en-US"/>
        </w:rPr>
        <w:t>CBRA can be</w:t>
      </w:r>
      <w:r w:rsidR="00200869">
        <w:rPr>
          <w:lang w:eastAsia="ko-KR"/>
        </w:rPr>
        <w:t xml:space="preserve"> initiated</w:t>
      </w:r>
      <w:r w:rsidR="00200869" w:rsidRPr="00C964D7">
        <w:rPr>
          <w:lang w:eastAsia="ko-KR"/>
        </w:rPr>
        <w:t xml:space="preserve"> by a PDCCH order with </w:t>
      </w:r>
      <w:r w:rsidR="00200869" w:rsidRPr="00C964D7">
        <w:rPr>
          <w:i/>
          <w:lang w:eastAsia="ko-KR"/>
        </w:rPr>
        <w:t>ra-PreambleIndex</w:t>
      </w:r>
      <w:r w:rsidR="00200869">
        <w:rPr>
          <w:lang w:eastAsia="ko-KR"/>
        </w:rPr>
        <w:t xml:space="preserve"> setting to</w:t>
      </w:r>
      <w:r w:rsidR="00200869" w:rsidRPr="00C964D7">
        <w:rPr>
          <w:lang w:eastAsia="ko-KR"/>
        </w:rPr>
        <w:t xml:space="preserve"> 0b000000</w:t>
      </w:r>
      <w:r w:rsidR="00200869">
        <w:rPr>
          <w:lang w:eastAsia="ko-KR"/>
        </w:rPr>
        <w:t xml:space="preserve">. Therefore we think similar principle applies to 2-step RACH, i.e., 2-step CBRA can be triggered by PDCCH order. </w:t>
      </w:r>
      <w:r w:rsidR="000914E8">
        <w:rPr>
          <w:lang w:eastAsia="ko-KR"/>
        </w:rPr>
        <w:t xml:space="preserve">Based on the above discussion, we think 2-step CBRA can also be triggered by PDCCH order and handover command. </w:t>
      </w:r>
    </w:p>
    <w:p w14:paraId="4E07BEA0" w14:textId="736087C9" w:rsidR="005E0132" w:rsidRDefault="005E0132" w:rsidP="005E0132">
      <w:pPr>
        <w:rPr>
          <w:rFonts w:eastAsiaTheme="minorEastAsia"/>
          <w:b/>
          <w:lang w:val="en-US"/>
        </w:rPr>
      </w:pPr>
      <w:r>
        <w:rPr>
          <w:rFonts w:eastAsiaTheme="minorEastAsia"/>
          <w:b/>
          <w:lang w:val="en-US"/>
        </w:rPr>
        <w:t xml:space="preserve">Proposal </w:t>
      </w:r>
      <w:r w:rsidR="000D51F1">
        <w:rPr>
          <w:rFonts w:eastAsiaTheme="minorEastAsia"/>
          <w:b/>
          <w:lang w:val="en-US"/>
        </w:rPr>
        <w:t>3</w:t>
      </w:r>
      <w:r>
        <w:rPr>
          <w:rFonts w:eastAsiaTheme="minorEastAsia"/>
          <w:b/>
          <w:lang w:val="en-US"/>
        </w:rPr>
        <w:t xml:space="preserve">: </w:t>
      </w:r>
      <w:r w:rsidR="00200869">
        <w:rPr>
          <w:rFonts w:eastAsiaTheme="minorEastAsia"/>
          <w:b/>
          <w:lang w:val="en-US"/>
        </w:rPr>
        <w:t>2-step CBRA can be initiated by PDCCH order</w:t>
      </w:r>
    </w:p>
    <w:p w14:paraId="55E7E76E" w14:textId="0BF2E7CB" w:rsidR="00BE1E99" w:rsidRDefault="00625956" w:rsidP="005E0132">
      <w:pPr>
        <w:rPr>
          <w:lang w:eastAsia="ko-KR"/>
        </w:rPr>
      </w:pPr>
      <w:r>
        <w:rPr>
          <w:lang w:val="en-US" w:eastAsia="ko-KR"/>
        </w:rPr>
        <w:t xml:space="preserve">It is possible that both 2-step CBRA and 4-step CBRA are configured for a certain BWP, either with shared RO or separate ROs. </w:t>
      </w:r>
      <w:r>
        <w:rPr>
          <w:lang w:eastAsia="ko-KR"/>
        </w:rPr>
        <w:t>I</w:t>
      </w:r>
      <w:r w:rsidR="00200869" w:rsidRPr="00200869">
        <w:rPr>
          <w:lang w:eastAsia="ko-KR"/>
        </w:rPr>
        <w:t>n LTE and NR</w:t>
      </w:r>
      <w:r w:rsidR="00200869">
        <w:rPr>
          <w:lang w:eastAsia="ko-KR"/>
        </w:rPr>
        <w:t xml:space="preserve">, </w:t>
      </w:r>
      <w:r>
        <w:rPr>
          <w:lang w:eastAsia="ko-KR"/>
        </w:rPr>
        <w:t>preamble index equalling 0b000000 is</w:t>
      </w:r>
      <w:r w:rsidR="00200869">
        <w:rPr>
          <w:lang w:eastAsia="ko-KR"/>
        </w:rPr>
        <w:t xml:space="preserve"> reserved for PDCCH order triggered </w:t>
      </w:r>
      <w:r w:rsidR="003C3F3D">
        <w:rPr>
          <w:lang w:eastAsia="ko-KR"/>
        </w:rPr>
        <w:t>CBRA 4-step RACH</w:t>
      </w:r>
      <w:r>
        <w:rPr>
          <w:lang w:eastAsia="ko-KR"/>
        </w:rPr>
        <w:t xml:space="preserve">. When both 2-step </w:t>
      </w:r>
      <w:r w:rsidR="00BE1E99">
        <w:rPr>
          <w:lang w:eastAsia="ko-KR"/>
        </w:rPr>
        <w:t xml:space="preserve">and 4-step CBRA are configured, the UE decides to trigger a 2-step or 4-step CBRA </w:t>
      </w:r>
      <w:r w:rsidR="00B76D67">
        <w:rPr>
          <w:lang w:eastAsia="ko-KR"/>
        </w:rPr>
        <w:t xml:space="preserve">following the RA type selection criteria </w:t>
      </w:r>
      <w:r w:rsidR="00BE1E99">
        <w:rPr>
          <w:lang w:eastAsia="ko-KR"/>
        </w:rPr>
        <w:t>when initiated by PDCCH order with preamble index 0b000000</w:t>
      </w:r>
      <w:r w:rsidR="00DE31F5">
        <w:rPr>
          <w:lang w:eastAsia="ko-KR"/>
        </w:rPr>
        <w:t>, which is consistent with the previous discussion without additional standard impact.</w:t>
      </w:r>
    </w:p>
    <w:p w14:paraId="453C9793" w14:textId="1307750B" w:rsidR="009F3B3E" w:rsidRPr="009F3B3E" w:rsidRDefault="00200869" w:rsidP="005E0132">
      <w:pPr>
        <w:rPr>
          <w:rFonts w:eastAsiaTheme="minorEastAsia"/>
          <w:b/>
          <w:lang w:val="en-US"/>
        </w:rPr>
      </w:pPr>
      <w:r w:rsidRPr="00200869">
        <w:rPr>
          <w:rFonts w:eastAsiaTheme="minorEastAsia"/>
          <w:b/>
          <w:lang w:val="en-US"/>
        </w:rPr>
        <w:t xml:space="preserve">Proposal </w:t>
      </w:r>
      <w:r w:rsidR="000D51F1">
        <w:rPr>
          <w:rFonts w:eastAsiaTheme="minorEastAsia"/>
          <w:b/>
          <w:lang w:val="en-US"/>
        </w:rPr>
        <w:t>4</w:t>
      </w:r>
      <w:r w:rsidRPr="00200869">
        <w:rPr>
          <w:rFonts w:eastAsiaTheme="minorEastAsia"/>
          <w:b/>
          <w:lang w:val="en-US"/>
        </w:rPr>
        <w:t xml:space="preserve">: </w:t>
      </w:r>
      <w:r w:rsidR="006C6348">
        <w:rPr>
          <w:rFonts w:eastAsiaTheme="minorEastAsia"/>
          <w:b/>
          <w:lang w:val="en-US"/>
        </w:rPr>
        <w:t xml:space="preserve">The UE shall follow </w:t>
      </w:r>
      <w:r w:rsidR="001B2BE2">
        <w:rPr>
          <w:rFonts w:eastAsiaTheme="minorEastAsia"/>
          <w:b/>
          <w:lang w:val="en-US"/>
        </w:rPr>
        <w:t xml:space="preserve">the </w:t>
      </w:r>
      <w:r w:rsidR="006C6348">
        <w:rPr>
          <w:rFonts w:eastAsiaTheme="minorEastAsia"/>
          <w:b/>
          <w:lang w:val="en-US"/>
        </w:rPr>
        <w:t xml:space="preserve">RA type selection </w:t>
      </w:r>
      <w:r w:rsidR="00B76D67">
        <w:rPr>
          <w:rFonts w:eastAsiaTheme="minorEastAsia"/>
          <w:b/>
          <w:lang w:val="en-US"/>
        </w:rPr>
        <w:t xml:space="preserve">criteria </w:t>
      </w:r>
      <w:r w:rsidR="006C6348">
        <w:rPr>
          <w:rFonts w:eastAsiaTheme="minorEastAsia"/>
          <w:b/>
          <w:lang w:val="en-US"/>
        </w:rPr>
        <w:t xml:space="preserve">when </w:t>
      </w:r>
      <w:r w:rsidR="00062C9E">
        <w:rPr>
          <w:rFonts w:eastAsiaTheme="minorEastAsia"/>
          <w:b/>
          <w:lang w:val="en-US"/>
        </w:rPr>
        <w:t>initiated</w:t>
      </w:r>
      <w:r w:rsidR="006C6348">
        <w:rPr>
          <w:rFonts w:eastAsiaTheme="minorEastAsia"/>
          <w:b/>
          <w:lang w:val="en-US"/>
        </w:rPr>
        <w:t xml:space="preserve"> by PDCCH </w:t>
      </w:r>
      <w:r w:rsidR="00062C9E">
        <w:rPr>
          <w:rFonts w:eastAsiaTheme="minorEastAsia"/>
          <w:b/>
          <w:lang w:val="en-US"/>
        </w:rPr>
        <w:t xml:space="preserve">order </w:t>
      </w:r>
      <w:r w:rsidR="006C6348">
        <w:rPr>
          <w:rFonts w:eastAsiaTheme="minorEastAsia"/>
          <w:b/>
          <w:lang w:val="en-US"/>
        </w:rPr>
        <w:t>with preamble index 0b000000</w:t>
      </w:r>
      <w:r w:rsidRPr="00200869">
        <w:rPr>
          <w:rFonts w:eastAsiaTheme="minorEastAsia"/>
          <w:b/>
          <w:lang w:val="en-US"/>
        </w:rPr>
        <w:t xml:space="preserve">. </w:t>
      </w:r>
    </w:p>
    <w:p w14:paraId="714029A2" w14:textId="77777777" w:rsidR="00300AE8" w:rsidRPr="003533B0" w:rsidRDefault="00300AE8" w:rsidP="00300AE8">
      <w:pPr>
        <w:pStyle w:val="1"/>
        <w:rPr>
          <w:lang w:val="en-US"/>
        </w:rPr>
      </w:pPr>
      <w:r w:rsidRPr="003533B0">
        <w:rPr>
          <w:lang w:val="en-US"/>
        </w:rPr>
        <w:lastRenderedPageBreak/>
        <w:t>Conclusion</w:t>
      </w:r>
    </w:p>
    <w:p w14:paraId="051841D5" w14:textId="60276C72" w:rsidR="00E4554B" w:rsidRDefault="00E4554B" w:rsidP="00E4554B">
      <w:pPr>
        <w:rPr>
          <w:rFonts w:ascii="Times New Roman" w:hAnsi="Times New Roman"/>
          <w:sz w:val="22"/>
          <w:szCs w:val="22"/>
        </w:rPr>
      </w:pPr>
      <w:r w:rsidRPr="003533B0">
        <w:rPr>
          <w:rFonts w:ascii="Times New Roman" w:hAnsi="Times New Roman"/>
          <w:sz w:val="22"/>
          <w:szCs w:val="22"/>
        </w:rPr>
        <w:t>Based on the discussion we propose the following:</w:t>
      </w:r>
    </w:p>
    <w:p w14:paraId="7A231C28" w14:textId="77777777" w:rsidR="000D51F1" w:rsidRPr="002C392C" w:rsidRDefault="000D51F1" w:rsidP="000D51F1">
      <w:pPr>
        <w:rPr>
          <w:rFonts w:eastAsiaTheme="minorEastAsia"/>
          <w:b/>
        </w:rPr>
      </w:pPr>
      <w:r w:rsidRPr="00521DB8">
        <w:rPr>
          <w:rFonts w:eastAsiaTheme="minorEastAsia"/>
          <w:b/>
        </w:rPr>
        <w:t xml:space="preserve">Proposal </w:t>
      </w:r>
      <w:r>
        <w:rPr>
          <w:rFonts w:eastAsiaTheme="minorEastAsia"/>
          <w:b/>
        </w:rPr>
        <w:t>1</w:t>
      </w:r>
      <w:r w:rsidRPr="00521DB8">
        <w:rPr>
          <w:rFonts w:eastAsiaTheme="minorEastAsia"/>
          <w:b/>
        </w:rPr>
        <w:t xml:space="preserve">: </w:t>
      </w:r>
      <w:r w:rsidRPr="0020169A">
        <w:rPr>
          <w:b/>
          <w:lang w:eastAsia="ko-KR"/>
        </w:rPr>
        <w:t>MAC entity</w:t>
      </w:r>
      <w:r>
        <w:rPr>
          <w:b/>
          <w:lang w:eastAsia="ko-KR"/>
        </w:rPr>
        <w:t xml:space="preserve"> should</w:t>
      </w:r>
      <w:r w:rsidRPr="0020169A">
        <w:rPr>
          <w:b/>
          <w:lang w:eastAsia="ko-KR"/>
        </w:rPr>
        <w:t xml:space="preserve"> take into account the possible </w:t>
      </w:r>
      <w:r w:rsidRPr="00521DB8">
        <w:rPr>
          <w:rFonts w:eastAsia="等线"/>
          <w:b/>
          <w:kern w:val="2"/>
          <w:lang w:val="en-US"/>
        </w:rPr>
        <w:t xml:space="preserve">invalidated </w:t>
      </w:r>
      <w:r>
        <w:rPr>
          <w:rFonts w:eastAsia="等线"/>
          <w:b/>
          <w:kern w:val="2"/>
          <w:lang w:val="en-US"/>
        </w:rPr>
        <w:t>PUSCH</w:t>
      </w:r>
      <w:r w:rsidRPr="00521DB8">
        <w:rPr>
          <w:rFonts w:eastAsia="等线"/>
          <w:b/>
          <w:kern w:val="2"/>
          <w:lang w:val="en-US"/>
        </w:rPr>
        <w:t xml:space="preserve"> resource</w:t>
      </w:r>
      <w:r w:rsidRPr="0020169A">
        <w:rPr>
          <w:b/>
          <w:lang w:eastAsia="ko-KR"/>
        </w:rPr>
        <w:t xml:space="preserve"> when determining the </w:t>
      </w:r>
      <w:r>
        <w:rPr>
          <w:b/>
          <w:lang w:eastAsia="ko-KR"/>
        </w:rPr>
        <w:t>PRACH</w:t>
      </w:r>
      <w:r w:rsidRPr="0020169A">
        <w:rPr>
          <w:b/>
          <w:lang w:eastAsia="ko-KR"/>
        </w:rPr>
        <w:t xml:space="preserve"> occasion. </w:t>
      </w:r>
    </w:p>
    <w:p w14:paraId="700AC1B9" w14:textId="77777777" w:rsidR="000D51F1" w:rsidRDefault="000D51F1" w:rsidP="000D51F1">
      <w:pPr>
        <w:pStyle w:val="20"/>
        <w:spacing w:after="0" w:line="240" w:lineRule="auto"/>
        <w:rPr>
          <w:b/>
        </w:rPr>
      </w:pPr>
      <w:r w:rsidRPr="00A5771F">
        <w:rPr>
          <w:b/>
        </w:rPr>
        <w:t xml:space="preserve">Proposal </w:t>
      </w:r>
      <w:r>
        <w:rPr>
          <w:b/>
        </w:rPr>
        <w:t>2</w:t>
      </w:r>
      <w:r w:rsidRPr="00A5771F">
        <w:rPr>
          <w:b/>
        </w:rPr>
        <w:t>: The PUSCH resource</w:t>
      </w:r>
      <w:r>
        <w:rPr>
          <w:b/>
        </w:rPr>
        <w:t xml:space="preserve"> determination</w:t>
      </w:r>
      <w:r w:rsidRPr="00A5771F">
        <w:rPr>
          <w:b/>
        </w:rPr>
        <w:t xml:space="preserve"> for msgA payload in 2-step RACH is specified in the MAC spec. </w:t>
      </w:r>
    </w:p>
    <w:p w14:paraId="221431EC" w14:textId="6EC51927" w:rsidR="000D51F1" w:rsidRDefault="000D51F1" w:rsidP="000D51F1">
      <w:pPr>
        <w:rPr>
          <w:rFonts w:eastAsiaTheme="minorEastAsia"/>
          <w:b/>
          <w:lang w:val="en-US"/>
        </w:rPr>
      </w:pPr>
      <w:r>
        <w:rPr>
          <w:rFonts w:eastAsiaTheme="minorEastAsia"/>
          <w:b/>
          <w:lang w:val="en-US"/>
        </w:rPr>
        <w:t>Proposal 3: 2-step CBRA can be initiated by PDCCH order.</w:t>
      </w:r>
    </w:p>
    <w:p w14:paraId="69B7A4F3" w14:textId="2021F12D" w:rsidR="001B0E43" w:rsidRPr="009F3B3E" w:rsidRDefault="001B0E43" w:rsidP="001B0E43">
      <w:pPr>
        <w:rPr>
          <w:rFonts w:eastAsiaTheme="minorEastAsia"/>
          <w:b/>
          <w:lang w:val="en-US"/>
        </w:rPr>
      </w:pPr>
      <w:r w:rsidRPr="00200869">
        <w:rPr>
          <w:rFonts w:eastAsiaTheme="minorEastAsia"/>
          <w:b/>
          <w:lang w:val="en-US"/>
        </w:rPr>
        <w:t xml:space="preserve">Proposal </w:t>
      </w:r>
      <w:r>
        <w:rPr>
          <w:rFonts w:eastAsiaTheme="minorEastAsia"/>
          <w:b/>
          <w:lang w:val="en-US"/>
        </w:rPr>
        <w:t>4</w:t>
      </w:r>
      <w:r w:rsidRPr="00200869">
        <w:rPr>
          <w:rFonts w:eastAsiaTheme="minorEastAsia"/>
          <w:b/>
          <w:lang w:val="en-US"/>
        </w:rPr>
        <w:t xml:space="preserve">: </w:t>
      </w:r>
      <w:r>
        <w:rPr>
          <w:rFonts w:eastAsiaTheme="minorEastAsia"/>
          <w:b/>
          <w:lang w:val="en-US"/>
        </w:rPr>
        <w:t xml:space="preserve">The UE shall follow </w:t>
      </w:r>
      <w:r w:rsidR="001B2BE2">
        <w:rPr>
          <w:rFonts w:eastAsiaTheme="minorEastAsia"/>
          <w:b/>
          <w:lang w:val="en-US"/>
        </w:rPr>
        <w:t xml:space="preserve">the </w:t>
      </w:r>
      <w:bookmarkStart w:id="28" w:name="_GoBack"/>
      <w:bookmarkEnd w:id="28"/>
      <w:r>
        <w:rPr>
          <w:rFonts w:eastAsiaTheme="minorEastAsia"/>
          <w:b/>
          <w:lang w:val="en-US"/>
        </w:rPr>
        <w:t>RA type selection criteria when initiated by PDCCH order with preamble index 0b000000</w:t>
      </w:r>
      <w:r w:rsidRPr="00200869">
        <w:rPr>
          <w:rFonts w:eastAsiaTheme="minorEastAsia"/>
          <w:b/>
          <w:lang w:val="en-US"/>
        </w:rPr>
        <w:t xml:space="preserve">. </w:t>
      </w:r>
    </w:p>
    <w:p w14:paraId="0980C1AE" w14:textId="54D12367" w:rsidR="000F4A88" w:rsidRPr="003533B0" w:rsidRDefault="000F4A88" w:rsidP="00E4554B">
      <w:pPr>
        <w:pStyle w:val="1"/>
      </w:pPr>
      <w:r w:rsidRPr="003533B0">
        <w:t>References</w:t>
      </w:r>
    </w:p>
    <w:p w14:paraId="01D5D790" w14:textId="1FBA0364" w:rsidR="00CD1F0A" w:rsidRPr="003533B0" w:rsidRDefault="008706D0" w:rsidP="002F33F3">
      <w:pPr>
        <w:pStyle w:val="Reference"/>
        <w:widowControl w:val="0"/>
        <w:numPr>
          <w:ilvl w:val="0"/>
          <w:numId w:val="18"/>
        </w:numPr>
        <w:rPr>
          <w:rFonts w:ascii="Times New Roman" w:hAnsi="Times New Roman"/>
          <w:lang w:val="de-DE"/>
        </w:rPr>
      </w:pPr>
      <w:bookmarkStart w:id="29" w:name="_Ref513478584"/>
      <w:r w:rsidRPr="003533B0">
        <w:rPr>
          <w:rFonts w:ascii="Times New Roman" w:hAnsi="Times New Roman"/>
        </w:rPr>
        <w:t>RAN2#10</w:t>
      </w:r>
      <w:r w:rsidR="00382C0A">
        <w:rPr>
          <w:rFonts w:ascii="Times New Roman" w:hAnsi="Times New Roman"/>
        </w:rPr>
        <w:t>6</w:t>
      </w:r>
      <w:r w:rsidRPr="003533B0">
        <w:rPr>
          <w:rFonts w:ascii="Times New Roman" w:hAnsi="Times New Roman"/>
        </w:rPr>
        <w:t xml:space="preserve"> chairman note</w:t>
      </w:r>
    </w:p>
    <w:bookmarkEnd w:id="29"/>
    <w:p w14:paraId="0C137964" w14:textId="383642EC" w:rsidR="008A3230" w:rsidRPr="00E94DCD" w:rsidRDefault="00382C0A" w:rsidP="00E94DCD">
      <w:pPr>
        <w:pStyle w:val="Reference"/>
        <w:widowControl w:val="0"/>
        <w:numPr>
          <w:ilvl w:val="0"/>
          <w:numId w:val="18"/>
        </w:numPr>
        <w:rPr>
          <w:rFonts w:eastAsiaTheme="minorEastAsia" w:cs="Arial"/>
          <w:lang w:val="de-DE"/>
        </w:rPr>
      </w:pPr>
      <w:r w:rsidRPr="003533B0">
        <w:rPr>
          <w:rFonts w:ascii="Times New Roman" w:hAnsi="Times New Roman"/>
        </w:rPr>
        <w:t>RAN</w:t>
      </w:r>
      <w:r w:rsidR="000E3495">
        <w:rPr>
          <w:rFonts w:ascii="Times New Roman" w:hAnsi="Times New Roman"/>
        </w:rPr>
        <w:t>1</w:t>
      </w:r>
      <w:r w:rsidRPr="003533B0">
        <w:rPr>
          <w:rFonts w:ascii="Times New Roman" w:hAnsi="Times New Roman"/>
        </w:rPr>
        <w:t>#</w:t>
      </w:r>
      <w:r w:rsidR="000E3495">
        <w:rPr>
          <w:rFonts w:ascii="Times New Roman" w:hAnsi="Times New Roman"/>
        </w:rPr>
        <w:t>9</w:t>
      </w:r>
      <w:r>
        <w:rPr>
          <w:rFonts w:ascii="Times New Roman" w:hAnsi="Times New Roman"/>
        </w:rPr>
        <w:t>7</w:t>
      </w:r>
      <w:r w:rsidRPr="003533B0">
        <w:rPr>
          <w:rFonts w:ascii="Times New Roman" w:hAnsi="Times New Roman"/>
        </w:rPr>
        <w:t xml:space="preserve"> chairman note</w:t>
      </w:r>
    </w:p>
    <w:sectPr w:rsidR="008A3230" w:rsidRPr="00E94DC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B4B2B" w14:textId="77777777" w:rsidR="006D5955" w:rsidRDefault="006D5955">
      <w:pPr>
        <w:spacing w:after="0"/>
      </w:pPr>
      <w:r>
        <w:separator/>
      </w:r>
    </w:p>
  </w:endnote>
  <w:endnote w:type="continuationSeparator" w:id="0">
    <w:p w14:paraId="13991BB4" w14:textId="77777777" w:rsidR="006D5955" w:rsidRDefault="006D5955">
      <w:pPr>
        <w:spacing w:after="0"/>
      </w:pPr>
      <w:r>
        <w:continuationSeparator/>
      </w:r>
    </w:p>
  </w:endnote>
  <w:endnote w:type="continuationNotice" w:id="1">
    <w:p w14:paraId="6FF6A648" w14:textId="77777777" w:rsidR="006D5955" w:rsidRDefault="006D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C6C3C" w14:textId="77777777" w:rsidR="006D5955" w:rsidRDefault="006D5955">
      <w:pPr>
        <w:spacing w:after="0"/>
      </w:pPr>
      <w:r>
        <w:separator/>
      </w:r>
    </w:p>
  </w:footnote>
  <w:footnote w:type="continuationSeparator" w:id="0">
    <w:p w14:paraId="60DE20B6" w14:textId="77777777" w:rsidR="006D5955" w:rsidRDefault="006D5955">
      <w:pPr>
        <w:spacing w:after="0"/>
      </w:pPr>
      <w:r>
        <w:continuationSeparator/>
      </w:r>
    </w:p>
  </w:footnote>
  <w:footnote w:type="continuationNotice" w:id="1">
    <w:p w14:paraId="5D5F7DE5" w14:textId="77777777" w:rsidR="006D5955" w:rsidRDefault="006D595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2B1483E"/>
    <w:multiLevelType w:val="hybridMultilevel"/>
    <w:tmpl w:val="8460CFC8"/>
    <w:lvl w:ilvl="0" w:tplc="D910DD6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7" w15:restartNumberingAfterBreak="0">
    <w:nsid w:val="18855FA7"/>
    <w:multiLevelType w:val="hybridMultilevel"/>
    <w:tmpl w:val="8570A5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C6B17"/>
    <w:multiLevelType w:val="hybridMultilevel"/>
    <w:tmpl w:val="744C1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142F0"/>
    <w:multiLevelType w:val="hybridMultilevel"/>
    <w:tmpl w:val="6FF45A58"/>
    <w:lvl w:ilvl="0" w:tplc="04090005">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E3212C"/>
    <w:multiLevelType w:val="hybridMultilevel"/>
    <w:tmpl w:val="63FE8204"/>
    <w:lvl w:ilvl="0" w:tplc="78A864BC">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843391"/>
    <w:multiLevelType w:val="hybridMultilevel"/>
    <w:tmpl w:val="E5186736"/>
    <w:lvl w:ilvl="0" w:tplc="DF3CB75E">
      <w:start w:val="1"/>
      <w:numFmt w:val="bullet"/>
      <w:lvlText w:val=""/>
      <w:lvlJc w:val="left"/>
      <w:pPr>
        <w:tabs>
          <w:tab w:val="num" w:pos="720"/>
        </w:tabs>
        <w:ind w:left="720" w:hanging="360"/>
      </w:pPr>
      <w:rPr>
        <w:rFonts w:ascii="Wingdings" w:hAnsi="Wingdings" w:hint="default"/>
      </w:rPr>
    </w:lvl>
    <w:lvl w:ilvl="1" w:tplc="05D8A3EA">
      <w:start w:val="1"/>
      <w:numFmt w:val="bullet"/>
      <w:lvlText w:val=""/>
      <w:lvlJc w:val="left"/>
      <w:pPr>
        <w:tabs>
          <w:tab w:val="num" w:pos="1440"/>
        </w:tabs>
        <w:ind w:left="1440" w:hanging="360"/>
      </w:pPr>
      <w:rPr>
        <w:rFonts w:ascii="Wingdings" w:hAnsi="Wingdings" w:hint="default"/>
      </w:rPr>
    </w:lvl>
    <w:lvl w:ilvl="2" w:tplc="F3EE7F62" w:tentative="1">
      <w:start w:val="1"/>
      <w:numFmt w:val="bullet"/>
      <w:lvlText w:val=""/>
      <w:lvlJc w:val="left"/>
      <w:pPr>
        <w:tabs>
          <w:tab w:val="num" w:pos="2160"/>
        </w:tabs>
        <w:ind w:left="2160" w:hanging="360"/>
      </w:pPr>
      <w:rPr>
        <w:rFonts w:ascii="Wingdings" w:hAnsi="Wingdings" w:hint="default"/>
      </w:rPr>
    </w:lvl>
    <w:lvl w:ilvl="3" w:tplc="419C53F6" w:tentative="1">
      <w:start w:val="1"/>
      <w:numFmt w:val="bullet"/>
      <w:lvlText w:val=""/>
      <w:lvlJc w:val="left"/>
      <w:pPr>
        <w:tabs>
          <w:tab w:val="num" w:pos="2880"/>
        </w:tabs>
        <w:ind w:left="2880" w:hanging="360"/>
      </w:pPr>
      <w:rPr>
        <w:rFonts w:ascii="Wingdings" w:hAnsi="Wingdings" w:hint="default"/>
      </w:rPr>
    </w:lvl>
    <w:lvl w:ilvl="4" w:tplc="99806C9E" w:tentative="1">
      <w:start w:val="1"/>
      <w:numFmt w:val="bullet"/>
      <w:lvlText w:val=""/>
      <w:lvlJc w:val="left"/>
      <w:pPr>
        <w:tabs>
          <w:tab w:val="num" w:pos="3600"/>
        </w:tabs>
        <w:ind w:left="3600" w:hanging="360"/>
      </w:pPr>
      <w:rPr>
        <w:rFonts w:ascii="Wingdings" w:hAnsi="Wingdings" w:hint="default"/>
      </w:rPr>
    </w:lvl>
    <w:lvl w:ilvl="5" w:tplc="80CEF0AC" w:tentative="1">
      <w:start w:val="1"/>
      <w:numFmt w:val="bullet"/>
      <w:lvlText w:val=""/>
      <w:lvlJc w:val="left"/>
      <w:pPr>
        <w:tabs>
          <w:tab w:val="num" w:pos="4320"/>
        </w:tabs>
        <w:ind w:left="4320" w:hanging="360"/>
      </w:pPr>
      <w:rPr>
        <w:rFonts w:ascii="Wingdings" w:hAnsi="Wingdings" w:hint="default"/>
      </w:rPr>
    </w:lvl>
    <w:lvl w:ilvl="6" w:tplc="8E96B1B4" w:tentative="1">
      <w:start w:val="1"/>
      <w:numFmt w:val="bullet"/>
      <w:lvlText w:val=""/>
      <w:lvlJc w:val="left"/>
      <w:pPr>
        <w:tabs>
          <w:tab w:val="num" w:pos="5040"/>
        </w:tabs>
        <w:ind w:left="5040" w:hanging="360"/>
      </w:pPr>
      <w:rPr>
        <w:rFonts w:ascii="Wingdings" w:hAnsi="Wingdings" w:hint="default"/>
      </w:rPr>
    </w:lvl>
    <w:lvl w:ilvl="7" w:tplc="CE729E0E" w:tentative="1">
      <w:start w:val="1"/>
      <w:numFmt w:val="bullet"/>
      <w:lvlText w:val=""/>
      <w:lvlJc w:val="left"/>
      <w:pPr>
        <w:tabs>
          <w:tab w:val="num" w:pos="5760"/>
        </w:tabs>
        <w:ind w:left="5760" w:hanging="360"/>
      </w:pPr>
      <w:rPr>
        <w:rFonts w:ascii="Wingdings" w:hAnsi="Wingdings" w:hint="default"/>
      </w:rPr>
    </w:lvl>
    <w:lvl w:ilvl="8" w:tplc="018CCB9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57DE8"/>
    <w:multiLevelType w:val="hybridMultilevel"/>
    <w:tmpl w:val="F2C8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E021BB8"/>
    <w:multiLevelType w:val="hybridMultilevel"/>
    <w:tmpl w:val="1088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A7B4D"/>
    <w:multiLevelType w:val="hybridMultilevel"/>
    <w:tmpl w:val="15F6D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5D1D65"/>
    <w:multiLevelType w:val="multilevel"/>
    <w:tmpl w:val="B0B82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47E58"/>
    <w:multiLevelType w:val="multilevel"/>
    <w:tmpl w:val="9DCAB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DD0349"/>
    <w:multiLevelType w:val="hybridMultilevel"/>
    <w:tmpl w:val="67185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F5D85"/>
    <w:multiLevelType w:val="hybridMultilevel"/>
    <w:tmpl w:val="1C4A9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0968FF"/>
    <w:multiLevelType w:val="hybridMultilevel"/>
    <w:tmpl w:val="B7EA3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B5A4F"/>
    <w:multiLevelType w:val="hybridMultilevel"/>
    <w:tmpl w:val="B96E3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454E0"/>
    <w:multiLevelType w:val="multilevel"/>
    <w:tmpl w:val="CF62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A169EE"/>
    <w:multiLevelType w:val="hybridMultilevel"/>
    <w:tmpl w:val="5DC0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3209D2"/>
    <w:multiLevelType w:val="hybridMultilevel"/>
    <w:tmpl w:val="9AE49722"/>
    <w:lvl w:ilvl="0" w:tplc="B796AD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3"/>
  </w:num>
  <w:num w:numId="3">
    <w:abstractNumId w:val="19"/>
  </w:num>
  <w:num w:numId="4">
    <w:abstractNumId w:val="25"/>
  </w:num>
  <w:num w:numId="5">
    <w:abstractNumId w:val="12"/>
  </w:num>
  <w:num w:numId="6">
    <w:abstractNumId w:val="36"/>
  </w:num>
  <w:num w:numId="7">
    <w:abstractNumId w:val="39"/>
  </w:num>
  <w:num w:numId="8">
    <w:abstractNumId w:val="25"/>
  </w:num>
  <w:num w:numId="9">
    <w:abstractNumId w:val="19"/>
  </w:num>
  <w:num w:numId="10">
    <w:abstractNumId w:val="25"/>
  </w:num>
  <w:num w:numId="11">
    <w:abstractNumId w:val="25"/>
  </w:num>
  <w:num w:numId="12">
    <w:abstractNumId w:val="25"/>
    <w:lvlOverride w:ilvl="0">
      <w:startOverride w:val="1"/>
    </w:lvlOverride>
  </w:num>
  <w:num w:numId="13">
    <w:abstractNumId w:val="40"/>
  </w:num>
  <w:num w:numId="14">
    <w:abstractNumId w:val="13"/>
  </w:num>
  <w:num w:numId="15">
    <w:abstractNumId w:val="11"/>
  </w:num>
  <w:num w:numId="16">
    <w:abstractNumId w:val="3"/>
  </w:num>
  <w:num w:numId="17">
    <w:abstractNumId w:val="0"/>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3"/>
  </w:num>
  <w:num w:numId="24">
    <w:abstractNumId w:val="1"/>
  </w:num>
  <w:num w:numId="25">
    <w:abstractNumId w:val="1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
  </w:num>
  <w:num w:numId="29">
    <w:abstractNumId w:val="27"/>
  </w:num>
  <w:num w:numId="30">
    <w:abstractNumId w:val="21"/>
  </w:num>
  <w:num w:numId="31">
    <w:abstractNumId w:val="35"/>
  </w:num>
  <w:num w:numId="32">
    <w:abstractNumId w:val="17"/>
  </w:num>
  <w:num w:numId="33">
    <w:abstractNumId w:val="9"/>
  </w:num>
  <w:num w:numId="34">
    <w:abstractNumId w:val="14"/>
  </w:num>
  <w:num w:numId="35">
    <w:abstractNumId w:val="10"/>
  </w:num>
  <w:num w:numId="36">
    <w:abstractNumId w:val="4"/>
  </w:num>
  <w:num w:numId="37">
    <w:abstractNumId w:val="8"/>
  </w:num>
  <w:num w:numId="38">
    <w:abstractNumId w:val="28"/>
  </w:num>
  <w:num w:numId="39">
    <w:abstractNumId w:val="37"/>
  </w:num>
  <w:num w:numId="40">
    <w:abstractNumId w:val="26"/>
  </w:num>
  <w:num w:numId="41">
    <w:abstractNumId w:val="32"/>
  </w:num>
  <w:num w:numId="42">
    <w:abstractNumId w:val="24"/>
  </w:num>
  <w:num w:numId="43">
    <w:abstractNumId w:val="22"/>
  </w:num>
  <w:num w:numId="44">
    <w:abstractNumId w:val="15"/>
  </w:num>
  <w:num w:numId="45">
    <w:abstractNumId w:val="33"/>
  </w:num>
  <w:num w:numId="46">
    <w:abstractNumId w:val="34"/>
  </w:num>
  <w:num w:numId="47">
    <w:abstractNumId w:val="31"/>
  </w:num>
  <w:num w:numId="48">
    <w:abstractNumId w:val="7"/>
  </w:num>
  <w:num w:numId="49">
    <w:abstractNumId w:val="30"/>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097C"/>
    <w:rsid w:val="00012731"/>
    <w:rsid w:val="0001290D"/>
    <w:rsid w:val="0001398D"/>
    <w:rsid w:val="00014680"/>
    <w:rsid w:val="00014EE3"/>
    <w:rsid w:val="0001514B"/>
    <w:rsid w:val="00016E83"/>
    <w:rsid w:val="0002299F"/>
    <w:rsid w:val="00024BC5"/>
    <w:rsid w:val="0002789D"/>
    <w:rsid w:val="00030CE1"/>
    <w:rsid w:val="00030EE7"/>
    <w:rsid w:val="000323F8"/>
    <w:rsid w:val="000332CC"/>
    <w:rsid w:val="00034708"/>
    <w:rsid w:val="00035348"/>
    <w:rsid w:val="00035E00"/>
    <w:rsid w:val="000379FF"/>
    <w:rsid w:val="00041C84"/>
    <w:rsid w:val="00042739"/>
    <w:rsid w:val="00044D45"/>
    <w:rsid w:val="00045120"/>
    <w:rsid w:val="00045FF4"/>
    <w:rsid w:val="00050ACD"/>
    <w:rsid w:val="00050D60"/>
    <w:rsid w:val="00050DEF"/>
    <w:rsid w:val="00051017"/>
    <w:rsid w:val="00051FFF"/>
    <w:rsid w:val="00052B8A"/>
    <w:rsid w:val="0005369A"/>
    <w:rsid w:val="0005397D"/>
    <w:rsid w:val="00054E7A"/>
    <w:rsid w:val="000562AA"/>
    <w:rsid w:val="00057CD4"/>
    <w:rsid w:val="00060A87"/>
    <w:rsid w:val="00062C9E"/>
    <w:rsid w:val="00067987"/>
    <w:rsid w:val="000704D2"/>
    <w:rsid w:val="00070EDC"/>
    <w:rsid w:val="00071B1C"/>
    <w:rsid w:val="00073D40"/>
    <w:rsid w:val="000768C6"/>
    <w:rsid w:val="00076D71"/>
    <w:rsid w:val="000807BB"/>
    <w:rsid w:val="00081D9F"/>
    <w:rsid w:val="00085162"/>
    <w:rsid w:val="00086D8D"/>
    <w:rsid w:val="000914E8"/>
    <w:rsid w:val="00092702"/>
    <w:rsid w:val="00094D35"/>
    <w:rsid w:val="00096FB2"/>
    <w:rsid w:val="000A099B"/>
    <w:rsid w:val="000A10E3"/>
    <w:rsid w:val="000A1ECE"/>
    <w:rsid w:val="000A4992"/>
    <w:rsid w:val="000B36A9"/>
    <w:rsid w:val="000B5BC5"/>
    <w:rsid w:val="000B6512"/>
    <w:rsid w:val="000B6CBC"/>
    <w:rsid w:val="000B6D70"/>
    <w:rsid w:val="000B7646"/>
    <w:rsid w:val="000C06F9"/>
    <w:rsid w:val="000C0B87"/>
    <w:rsid w:val="000C0BB6"/>
    <w:rsid w:val="000C1066"/>
    <w:rsid w:val="000C10AF"/>
    <w:rsid w:val="000C1F96"/>
    <w:rsid w:val="000C3525"/>
    <w:rsid w:val="000C37F0"/>
    <w:rsid w:val="000C4A78"/>
    <w:rsid w:val="000C6F4E"/>
    <w:rsid w:val="000C7EBE"/>
    <w:rsid w:val="000D04E0"/>
    <w:rsid w:val="000D3330"/>
    <w:rsid w:val="000D51F1"/>
    <w:rsid w:val="000D54FA"/>
    <w:rsid w:val="000D7215"/>
    <w:rsid w:val="000D78DF"/>
    <w:rsid w:val="000D7ACD"/>
    <w:rsid w:val="000D7DF8"/>
    <w:rsid w:val="000E0334"/>
    <w:rsid w:val="000E0501"/>
    <w:rsid w:val="000E09A3"/>
    <w:rsid w:val="000E2663"/>
    <w:rsid w:val="000E2F56"/>
    <w:rsid w:val="000E32A7"/>
    <w:rsid w:val="000E331E"/>
    <w:rsid w:val="000E3495"/>
    <w:rsid w:val="000E3499"/>
    <w:rsid w:val="000E396D"/>
    <w:rsid w:val="000E4C3F"/>
    <w:rsid w:val="000E71DC"/>
    <w:rsid w:val="000F004C"/>
    <w:rsid w:val="000F0DF5"/>
    <w:rsid w:val="000F1BB3"/>
    <w:rsid w:val="000F3294"/>
    <w:rsid w:val="000F4A88"/>
    <w:rsid w:val="000F6635"/>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7734"/>
    <w:rsid w:val="001279CF"/>
    <w:rsid w:val="00127A9D"/>
    <w:rsid w:val="00133EFC"/>
    <w:rsid w:val="00134978"/>
    <w:rsid w:val="00135298"/>
    <w:rsid w:val="00136333"/>
    <w:rsid w:val="001374EF"/>
    <w:rsid w:val="001401CB"/>
    <w:rsid w:val="00140C2B"/>
    <w:rsid w:val="00142631"/>
    <w:rsid w:val="00143923"/>
    <w:rsid w:val="00143F1E"/>
    <w:rsid w:val="00147172"/>
    <w:rsid w:val="001476CE"/>
    <w:rsid w:val="0015156A"/>
    <w:rsid w:val="00151C45"/>
    <w:rsid w:val="001532B9"/>
    <w:rsid w:val="00157184"/>
    <w:rsid w:val="00157B0E"/>
    <w:rsid w:val="00160446"/>
    <w:rsid w:val="00162CEF"/>
    <w:rsid w:val="00162E06"/>
    <w:rsid w:val="0016320D"/>
    <w:rsid w:val="00163A23"/>
    <w:rsid w:val="0016557E"/>
    <w:rsid w:val="001678F4"/>
    <w:rsid w:val="00170FCE"/>
    <w:rsid w:val="00175099"/>
    <w:rsid w:val="001807A6"/>
    <w:rsid w:val="00180E7E"/>
    <w:rsid w:val="001855A4"/>
    <w:rsid w:val="00185C29"/>
    <w:rsid w:val="001867CD"/>
    <w:rsid w:val="00187DBC"/>
    <w:rsid w:val="0019073F"/>
    <w:rsid w:val="00190787"/>
    <w:rsid w:val="00191F81"/>
    <w:rsid w:val="0019221F"/>
    <w:rsid w:val="001948F1"/>
    <w:rsid w:val="00195213"/>
    <w:rsid w:val="00197D8A"/>
    <w:rsid w:val="001A2401"/>
    <w:rsid w:val="001A258D"/>
    <w:rsid w:val="001A3D7B"/>
    <w:rsid w:val="001A4603"/>
    <w:rsid w:val="001A6E97"/>
    <w:rsid w:val="001B0B8E"/>
    <w:rsid w:val="001B0E43"/>
    <w:rsid w:val="001B1904"/>
    <w:rsid w:val="001B2659"/>
    <w:rsid w:val="001B29BD"/>
    <w:rsid w:val="001B2BE2"/>
    <w:rsid w:val="001B4177"/>
    <w:rsid w:val="001B5920"/>
    <w:rsid w:val="001B5A72"/>
    <w:rsid w:val="001B6577"/>
    <w:rsid w:val="001B7AE8"/>
    <w:rsid w:val="001C07FC"/>
    <w:rsid w:val="001C0E76"/>
    <w:rsid w:val="001C1EFC"/>
    <w:rsid w:val="001C2143"/>
    <w:rsid w:val="001C2828"/>
    <w:rsid w:val="001C30E8"/>
    <w:rsid w:val="001C334A"/>
    <w:rsid w:val="001C3E65"/>
    <w:rsid w:val="001C5113"/>
    <w:rsid w:val="001C7C59"/>
    <w:rsid w:val="001D026F"/>
    <w:rsid w:val="001D0E21"/>
    <w:rsid w:val="001D356C"/>
    <w:rsid w:val="001D6AD2"/>
    <w:rsid w:val="001E2131"/>
    <w:rsid w:val="001E270B"/>
    <w:rsid w:val="001E3DF0"/>
    <w:rsid w:val="001F3999"/>
    <w:rsid w:val="001F6E2B"/>
    <w:rsid w:val="00200869"/>
    <w:rsid w:val="0020169A"/>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47DEF"/>
    <w:rsid w:val="002506DC"/>
    <w:rsid w:val="00250C0D"/>
    <w:rsid w:val="00254E0B"/>
    <w:rsid w:val="0025583F"/>
    <w:rsid w:val="00260E9E"/>
    <w:rsid w:val="00260EB2"/>
    <w:rsid w:val="002636F4"/>
    <w:rsid w:val="00263890"/>
    <w:rsid w:val="002644EB"/>
    <w:rsid w:val="00267A79"/>
    <w:rsid w:val="00274268"/>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0C3B"/>
    <w:rsid w:val="002B36AD"/>
    <w:rsid w:val="002B6DF4"/>
    <w:rsid w:val="002B7BC8"/>
    <w:rsid w:val="002C2ABC"/>
    <w:rsid w:val="002C392C"/>
    <w:rsid w:val="002C41C2"/>
    <w:rsid w:val="002C5AFE"/>
    <w:rsid w:val="002C6B36"/>
    <w:rsid w:val="002C71F6"/>
    <w:rsid w:val="002C7B14"/>
    <w:rsid w:val="002D0194"/>
    <w:rsid w:val="002D0933"/>
    <w:rsid w:val="002D11CB"/>
    <w:rsid w:val="002D1355"/>
    <w:rsid w:val="002D333C"/>
    <w:rsid w:val="002D66DC"/>
    <w:rsid w:val="002D757C"/>
    <w:rsid w:val="002D7DFA"/>
    <w:rsid w:val="002E09EB"/>
    <w:rsid w:val="002E0C27"/>
    <w:rsid w:val="002E1381"/>
    <w:rsid w:val="002E17E7"/>
    <w:rsid w:val="002F203B"/>
    <w:rsid w:val="002F33F3"/>
    <w:rsid w:val="002F4896"/>
    <w:rsid w:val="002F4FE3"/>
    <w:rsid w:val="002F555E"/>
    <w:rsid w:val="0030027E"/>
    <w:rsid w:val="00300AE8"/>
    <w:rsid w:val="0030340C"/>
    <w:rsid w:val="0030443B"/>
    <w:rsid w:val="003061DF"/>
    <w:rsid w:val="003065DE"/>
    <w:rsid w:val="00307A14"/>
    <w:rsid w:val="003125CF"/>
    <w:rsid w:val="003166EA"/>
    <w:rsid w:val="00317AB0"/>
    <w:rsid w:val="0032054A"/>
    <w:rsid w:val="00320E6E"/>
    <w:rsid w:val="0032181B"/>
    <w:rsid w:val="0032193D"/>
    <w:rsid w:val="00322AEB"/>
    <w:rsid w:val="0032538E"/>
    <w:rsid w:val="003275F6"/>
    <w:rsid w:val="00332838"/>
    <w:rsid w:val="00332A83"/>
    <w:rsid w:val="00333110"/>
    <w:rsid w:val="0033325B"/>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51CCE"/>
    <w:rsid w:val="00351F98"/>
    <w:rsid w:val="003520EA"/>
    <w:rsid w:val="00352CDF"/>
    <w:rsid w:val="003533B0"/>
    <w:rsid w:val="00353D64"/>
    <w:rsid w:val="00354141"/>
    <w:rsid w:val="00356952"/>
    <w:rsid w:val="00360AC4"/>
    <w:rsid w:val="00364354"/>
    <w:rsid w:val="00364862"/>
    <w:rsid w:val="00365410"/>
    <w:rsid w:val="003654D2"/>
    <w:rsid w:val="00367AFC"/>
    <w:rsid w:val="0037040C"/>
    <w:rsid w:val="003709B4"/>
    <w:rsid w:val="00370E2A"/>
    <w:rsid w:val="003711A7"/>
    <w:rsid w:val="00372AC9"/>
    <w:rsid w:val="00372BD9"/>
    <w:rsid w:val="00373736"/>
    <w:rsid w:val="00374B0E"/>
    <w:rsid w:val="00374FAB"/>
    <w:rsid w:val="00376C88"/>
    <w:rsid w:val="003800F8"/>
    <w:rsid w:val="00380A41"/>
    <w:rsid w:val="00380BFE"/>
    <w:rsid w:val="00380D28"/>
    <w:rsid w:val="00382C0A"/>
    <w:rsid w:val="00382CDF"/>
    <w:rsid w:val="00383360"/>
    <w:rsid w:val="003853E4"/>
    <w:rsid w:val="003854D8"/>
    <w:rsid w:val="003900EA"/>
    <w:rsid w:val="003936E5"/>
    <w:rsid w:val="0039752D"/>
    <w:rsid w:val="00397632"/>
    <w:rsid w:val="003A2A66"/>
    <w:rsid w:val="003A375F"/>
    <w:rsid w:val="003A47FB"/>
    <w:rsid w:val="003A4B27"/>
    <w:rsid w:val="003A7159"/>
    <w:rsid w:val="003B0210"/>
    <w:rsid w:val="003B0DFC"/>
    <w:rsid w:val="003B4377"/>
    <w:rsid w:val="003B5795"/>
    <w:rsid w:val="003C01C9"/>
    <w:rsid w:val="003C1556"/>
    <w:rsid w:val="003C1C50"/>
    <w:rsid w:val="003C2835"/>
    <w:rsid w:val="003C3F3D"/>
    <w:rsid w:val="003C75F9"/>
    <w:rsid w:val="003C7A9E"/>
    <w:rsid w:val="003D0CB3"/>
    <w:rsid w:val="003D1B52"/>
    <w:rsid w:val="003D38EE"/>
    <w:rsid w:val="003D4610"/>
    <w:rsid w:val="003D56AA"/>
    <w:rsid w:val="003D5CF3"/>
    <w:rsid w:val="003D71B5"/>
    <w:rsid w:val="003D77AE"/>
    <w:rsid w:val="003E2AA8"/>
    <w:rsid w:val="003E3576"/>
    <w:rsid w:val="003E3C4A"/>
    <w:rsid w:val="003E60FC"/>
    <w:rsid w:val="003F1AA0"/>
    <w:rsid w:val="003F3E8A"/>
    <w:rsid w:val="003F6EB9"/>
    <w:rsid w:val="00402745"/>
    <w:rsid w:val="004027F2"/>
    <w:rsid w:val="00402D69"/>
    <w:rsid w:val="00402E9A"/>
    <w:rsid w:val="00404E1B"/>
    <w:rsid w:val="00406931"/>
    <w:rsid w:val="00406A05"/>
    <w:rsid w:val="00406FC6"/>
    <w:rsid w:val="00407176"/>
    <w:rsid w:val="00410580"/>
    <w:rsid w:val="004116FB"/>
    <w:rsid w:val="0041278F"/>
    <w:rsid w:val="00413EA6"/>
    <w:rsid w:val="0041582A"/>
    <w:rsid w:val="0041586D"/>
    <w:rsid w:val="00416354"/>
    <w:rsid w:val="00416B79"/>
    <w:rsid w:val="00421FCC"/>
    <w:rsid w:val="00422493"/>
    <w:rsid w:val="00422955"/>
    <w:rsid w:val="00422987"/>
    <w:rsid w:val="00423644"/>
    <w:rsid w:val="00425689"/>
    <w:rsid w:val="00427723"/>
    <w:rsid w:val="00433BE3"/>
    <w:rsid w:val="004344B7"/>
    <w:rsid w:val="004412D2"/>
    <w:rsid w:val="0044206F"/>
    <w:rsid w:val="00442A5B"/>
    <w:rsid w:val="00442EC8"/>
    <w:rsid w:val="00442F81"/>
    <w:rsid w:val="0044357F"/>
    <w:rsid w:val="00447FB3"/>
    <w:rsid w:val="00450451"/>
    <w:rsid w:val="00451D6C"/>
    <w:rsid w:val="00452555"/>
    <w:rsid w:val="00453239"/>
    <w:rsid w:val="004547D0"/>
    <w:rsid w:val="00455A6B"/>
    <w:rsid w:val="00456759"/>
    <w:rsid w:val="0045717A"/>
    <w:rsid w:val="00457AD3"/>
    <w:rsid w:val="00460EC1"/>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A3E"/>
    <w:rsid w:val="00483B8D"/>
    <w:rsid w:val="00483F46"/>
    <w:rsid w:val="00483FB8"/>
    <w:rsid w:val="00484487"/>
    <w:rsid w:val="004845F3"/>
    <w:rsid w:val="00484CEC"/>
    <w:rsid w:val="00485035"/>
    <w:rsid w:val="00486646"/>
    <w:rsid w:val="004877D8"/>
    <w:rsid w:val="004904A5"/>
    <w:rsid w:val="00493EC4"/>
    <w:rsid w:val="004953FF"/>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D7F7F"/>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1DB8"/>
    <w:rsid w:val="00522834"/>
    <w:rsid w:val="00522963"/>
    <w:rsid w:val="00524CCA"/>
    <w:rsid w:val="0052565C"/>
    <w:rsid w:val="005257F7"/>
    <w:rsid w:val="00526599"/>
    <w:rsid w:val="00526AB4"/>
    <w:rsid w:val="00527F96"/>
    <w:rsid w:val="0053487F"/>
    <w:rsid w:val="005411C2"/>
    <w:rsid w:val="0054568F"/>
    <w:rsid w:val="0055272A"/>
    <w:rsid w:val="00555F62"/>
    <w:rsid w:val="00556654"/>
    <w:rsid w:val="0056325F"/>
    <w:rsid w:val="005655F1"/>
    <w:rsid w:val="00566217"/>
    <w:rsid w:val="00570D60"/>
    <w:rsid w:val="00574AEF"/>
    <w:rsid w:val="00574C2E"/>
    <w:rsid w:val="005754D9"/>
    <w:rsid w:val="005758CE"/>
    <w:rsid w:val="00575916"/>
    <w:rsid w:val="0057741C"/>
    <w:rsid w:val="00580350"/>
    <w:rsid w:val="00580E4F"/>
    <w:rsid w:val="00581AB9"/>
    <w:rsid w:val="00581F7A"/>
    <w:rsid w:val="00582C6C"/>
    <w:rsid w:val="0058761D"/>
    <w:rsid w:val="0059080A"/>
    <w:rsid w:val="005916B5"/>
    <w:rsid w:val="00594F69"/>
    <w:rsid w:val="005963A0"/>
    <w:rsid w:val="005975C9"/>
    <w:rsid w:val="005A0F19"/>
    <w:rsid w:val="005A1540"/>
    <w:rsid w:val="005A1D56"/>
    <w:rsid w:val="005A1E30"/>
    <w:rsid w:val="005A1E82"/>
    <w:rsid w:val="005A1ED4"/>
    <w:rsid w:val="005A244A"/>
    <w:rsid w:val="005A4604"/>
    <w:rsid w:val="005A488A"/>
    <w:rsid w:val="005A4D0C"/>
    <w:rsid w:val="005B2111"/>
    <w:rsid w:val="005B32F5"/>
    <w:rsid w:val="005B372C"/>
    <w:rsid w:val="005B53A3"/>
    <w:rsid w:val="005B5894"/>
    <w:rsid w:val="005B7462"/>
    <w:rsid w:val="005C0FDD"/>
    <w:rsid w:val="005C126D"/>
    <w:rsid w:val="005C14F1"/>
    <w:rsid w:val="005C1DD8"/>
    <w:rsid w:val="005C2A08"/>
    <w:rsid w:val="005C2E20"/>
    <w:rsid w:val="005C70F6"/>
    <w:rsid w:val="005D007D"/>
    <w:rsid w:val="005D26D9"/>
    <w:rsid w:val="005D2F44"/>
    <w:rsid w:val="005D3EFD"/>
    <w:rsid w:val="005D4FBC"/>
    <w:rsid w:val="005D5AE1"/>
    <w:rsid w:val="005D61F3"/>
    <w:rsid w:val="005D6580"/>
    <w:rsid w:val="005E0132"/>
    <w:rsid w:val="005E24B7"/>
    <w:rsid w:val="005E2ED4"/>
    <w:rsid w:val="005E34D9"/>
    <w:rsid w:val="005E358F"/>
    <w:rsid w:val="005E5519"/>
    <w:rsid w:val="005E56E5"/>
    <w:rsid w:val="005E64E8"/>
    <w:rsid w:val="005F1A18"/>
    <w:rsid w:val="005F1D14"/>
    <w:rsid w:val="005F2CE9"/>
    <w:rsid w:val="005F4AA0"/>
    <w:rsid w:val="005F509B"/>
    <w:rsid w:val="005F51AD"/>
    <w:rsid w:val="005F5AF9"/>
    <w:rsid w:val="005F5B63"/>
    <w:rsid w:val="005F60CC"/>
    <w:rsid w:val="005F744E"/>
    <w:rsid w:val="00601145"/>
    <w:rsid w:val="00606947"/>
    <w:rsid w:val="00606A6E"/>
    <w:rsid w:val="006073D6"/>
    <w:rsid w:val="00611481"/>
    <w:rsid w:val="006129E6"/>
    <w:rsid w:val="006137B7"/>
    <w:rsid w:val="006138CA"/>
    <w:rsid w:val="006140C6"/>
    <w:rsid w:val="00616BEE"/>
    <w:rsid w:val="00621D13"/>
    <w:rsid w:val="00623112"/>
    <w:rsid w:val="00623601"/>
    <w:rsid w:val="00623C4C"/>
    <w:rsid w:val="00625956"/>
    <w:rsid w:val="0062612F"/>
    <w:rsid w:val="00626476"/>
    <w:rsid w:val="00630719"/>
    <w:rsid w:val="0063158F"/>
    <w:rsid w:val="006317C5"/>
    <w:rsid w:val="006321CA"/>
    <w:rsid w:val="00633AAF"/>
    <w:rsid w:val="0063490E"/>
    <w:rsid w:val="00634D4C"/>
    <w:rsid w:val="006365B9"/>
    <w:rsid w:val="006400D8"/>
    <w:rsid w:val="00640D73"/>
    <w:rsid w:val="0064246C"/>
    <w:rsid w:val="00642939"/>
    <w:rsid w:val="0064454E"/>
    <w:rsid w:val="0064462E"/>
    <w:rsid w:val="0064545E"/>
    <w:rsid w:val="006541C1"/>
    <w:rsid w:val="0066129D"/>
    <w:rsid w:val="0066234E"/>
    <w:rsid w:val="00662A6C"/>
    <w:rsid w:val="00663D87"/>
    <w:rsid w:val="00664E49"/>
    <w:rsid w:val="0066681A"/>
    <w:rsid w:val="006708A4"/>
    <w:rsid w:val="00672271"/>
    <w:rsid w:val="006734C5"/>
    <w:rsid w:val="006759A9"/>
    <w:rsid w:val="00675A11"/>
    <w:rsid w:val="00677802"/>
    <w:rsid w:val="00677DFF"/>
    <w:rsid w:val="0068212F"/>
    <w:rsid w:val="00682D35"/>
    <w:rsid w:val="00683621"/>
    <w:rsid w:val="00683890"/>
    <w:rsid w:val="00684CEE"/>
    <w:rsid w:val="00690D17"/>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8FB"/>
    <w:rsid w:val="006C2DD1"/>
    <w:rsid w:val="006C4ED3"/>
    <w:rsid w:val="006C5A18"/>
    <w:rsid w:val="006C5EC0"/>
    <w:rsid w:val="006C6053"/>
    <w:rsid w:val="006C6348"/>
    <w:rsid w:val="006C7CC9"/>
    <w:rsid w:val="006D1731"/>
    <w:rsid w:val="006D46E5"/>
    <w:rsid w:val="006D4CF6"/>
    <w:rsid w:val="006D5955"/>
    <w:rsid w:val="006D6412"/>
    <w:rsid w:val="006D746B"/>
    <w:rsid w:val="006D77BA"/>
    <w:rsid w:val="006E163D"/>
    <w:rsid w:val="006E2EAF"/>
    <w:rsid w:val="006E4115"/>
    <w:rsid w:val="006E4509"/>
    <w:rsid w:val="006E5034"/>
    <w:rsid w:val="006E5567"/>
    <w:rsid w:val="006E5750"/>
    <w:rsid w:val="006E74F4"/>
    <w:rsid w:val="006F19C8"/>
    <w:rsid w:val="006F470B"/>
    <w:rsid w:val="006F57D6"/>
    <w:rsid w:val="006F6466"/>
    <w:rsid w:val="00700455"/>
    <w:rsid w:val="007009DF"/>
    <w:rsid w:val="00700D02"/>
    <w:rsid w:val="0070119B"/>
    <w:rsid w:val="007015CE"/>
    <w:rsid w:val="007022A7"/>
    <w:rsid w:val="00705267"/>
    <w:rsid w:val="007065FC"/>
    <w:rsid w:val="00710402"/>
    <w:rsid w:val="00711ED9"/>
    <w:rsid w:val="007208E9"/>
    <w:rsid w:val="007213B5"/>
    <w:rsid w:val="007222DC"/>
    <w:rsid w:val="00724915"/>
    <w:rsid w:val="00727352"/>
    <w:rsid w:val="00730FD6"/>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359"/>
    <w:rsid w:val="007707BF"/>
    <w:rsid w:val="0077504B"/>
    <w:rsid w:val="007753EF"/>
    <w:rsid w:val="007762F4"/>
    <w:rsid w:val="007804EA"/>
    <w:rsid w:val="00780DE8"/>
    <w:rsid w:val="0078141E"/>
    <w:rsid w:val="00784611"/>
    <w:rsid w:val="00790D2C"/>
    <w:rsid w:val="00791F3F"/>
    <w:rsid w:val="007924A0"/>
    <w:rsid w:val="007956B7"/>
    <w:rsid w:val="007A0614"/>
    <w:rsid w:val="007A089A"/>
    <w:rsid w:val="007A0900"/>
    <w:rsid w:val="007A1A6E"/>
    <w:rsid w:val="007A2A5B"/>
    <w:rsid w:val="007A43E1"/>
    <w:rsid w:val="007A579B"/>
    <w:rsid w:val="007A6403"/>
    <w:rsid w:val="007A7432"/>
    <w:rsid w:val="007A752A"/>
    <w:rsid w:val="007B0CD8"/>
    <w:rsid w:val="007B1932"/>
    <w:rsid w:val="007B1990"/>
    <w:rsid w:val="007B4319"/>
    <w:rsid w:val="007B51D1"/>
    <w:rsid w:val="007B5974"/>
    <w:rsid w:val="007B5A2C"/>
    <w:rsid w:val="007B638F"/>
    <w:rsid w:val="007C06D6"/>
    <w:rsid w:val="007C221A"/>
    <w:rsid w:val="007C311C"/>
    <w:rsid w:val="007C3513"/>
    <w:rsid w:val="007C3DE2"/>
    <w:rsid w:val="007D0D66"/>
    <w:rsid w:val="007D400E"/>
    <w:rsid w:val="007D40DC"/>
    <w:rsid w:val="007D7B83"/>
    <w:rsid w:val="007E2959"/>
    <w:rsid w:val="007E2AEC"/>
    <w:rsid w:val="007E4743"/>
    <w:rsid w:val="007E5CA2"/>
    <w:rsid w:val="007E5D1D"/>
    <w:rsid w:val="007E6AEE"/>
    <w:rsid w:val="007E7C58"/>
    <w:rsid w:val="007E7FA7"/>
    <w:rsid w:val="007F1609"/>
    <w:rsid w:val="007F3C4C"/>
    <w:rsid w:val="007F4A00"/>
    <w:rsid w:val="007F4B86"/>
    <w:rsid w:val="007F556A"/>
    <w:rsid w:val="007F5F73"/>
    <w:rsid w:val="007F63F8"/>
    <w:rsid w:val="007F6734"/>
    <w:rsid w:val="007F7CEE"/>
    <w:rsid w:val="00800F2C"/>
    <w:rsid w:val="008020A3"/>
    <w:rsid w:val="00803FAD"/>
    <w:rsid w:val="00804BC6"/>
    <w:rsid w:val="00804EEB"/>
    <w:rsid w:val="00806150"/>
    <w:rsid w:val="00806D5B"/>
    <w:rsid w:val="008077E7"/>
    <w:rsid w:val="0081106A"/>
    <w:rsid w:val="0081386F"/>
    <w:rsid w:val="00814DA7"/>
    <w:rsid w:val="00815835"/>
    <w:rsid w:val="00815B7B"/>
    <w:rsid w:val="00815B98"/>
    <w:rsid w:val="008174F1"/>
    <w:rsid w:val="00817BE6"/>
    <w:rsid w:val="00822D4C"/>
    <w:rsid w:val="0082440E"/>
    <w:rsid w:val="0082519E"/>
    <w:rsid w:val="00827991"/>
    <w:rsid w:val="00827C42"/>
    <w:rsid w:val="00827E21"/>
    <w:rsid w:val="00830DA8"/>
    <w:rsid w:val="00831353"/>
    <w:rsid w:val="008334DB"/>
    <w:rsid w:val="008354E1"/>
    <w:rsid w:val="008362F4"/>
    <w:rsid w:val="00836DE7"/>
    <w:rsid w:val="00837BB9"/>
    <w:rsid w:val="00840027"/>
    <w:rsid w:val="00841685"/>
    <w:rsid w:val="00841C90"/>
    <w:rsid w:val="00841FEC"/>
    <w:rsid w:val="00842335"/>
    <w:rsid w:val="00843162"/>
    <w:rsid w:val="0084625E"/>
    <w:rsid w:val="00846567"/>
    <w:rsid w:val="0084799E"/>
    <w:rsid w:val="00852FC1"/>
    <w:rsid w:val="00855532"/>
    <w:rsid w:val="00856F19"/>
    <w:rsid w:val="0085721F"/>
    <w:rsid w:val="00857E15"/>
    <w:rsid w:val="00860F74"/>
    <w:rsid w:val="00861B0A"/>
    <w:rsid w:val="00861D6F"/>
    <w:rsid w:val="00864178"/>
    <w:rsid w:val="00865E6D"/>
    <w:rsid w:val="008701CF"/>
    <w:rsid w:val="008706D0"/>
    <w:rsid w:val="0087171B"/>
    <w:rsid w:val="00874899"/>
    <w:rsid w:val="008773FC"/>
    <w:rsid w:val="0087748E"/>
    <w:rsid w:val="008817D4"/>
    <w:rsid w:val="008823E1"/>
    <w:rsid w:val="00882878"/>
    <w:rsid w:val="00887CDD"/>
    <w:rsid w:val="008900A8"/>
    <w:rsid w:val="00890915"/>
    <w:rsid w:val="00891087"/>
    <w:rsid w:val="008910EE"/>
    <w:rsid w:val="00891EE6"/>
    <w:rsid w:val="00893954"/>
    <w:rsid w:val="00895C21"/>
    <w:rsid w:val="00895FD4"/>
    <w:rsid w:val="008A12D7"/>
    <w:rsid w:val="008A2039"/>
    <w:rsid w:val="008A2CF7"/>
    <w:rsid w:val="008A3230"/>
    <w:rsid w:val="008A5131"/>
    <w:rsid w:val="008A7004"/>
    <w:rsid w:val="008A796A"/>
    <w:rsid w:val="008B1168"/>
    <w:rsid w:val="008B13B6"/>
    <w:rsid w:val="008B371B"/>
    <w:rsid w:val="008B3A0B"/>
    <w:rsid w:val="008B5AD1"/>
    <w:rsid w:val="008C0EDB"/>
    <w:rsid w:val="008C16B7"/>
    <w:rsid w:val="008C1F63"/>
    <w:rsid w:val="008C70D0"/>
    <w:rsid w:val="008C7F1D"/>
    <w:rsid w:val="008D442B"/>
    <w:rsid w:val="008D4E73"/>
    <w:rsid w:val="008D5CD1"/>
    <w:rsid w:val="008D5E65"/>
    <w:rsid w:val="008D6EE5"/>
    <w:rsid w:val="008D72CF"/>
    <w:rsid w:val="008E146D"/>
    <w:rsid w:val="008E1CCF"/>
    <w:rsid w:val="008E1EFF"/>
    <w:rsid w:val="008E4743"/>
    <w:rsid w:val="008E7092"/>
    <w:rsid w:val="008F1267"/>
    <w:rsid w:val="008F1469"/>
    <w:rsid w:val="008F1BB3"/>
    <w:rsid w:val="008F1FB1"/>
    <w:rsid w:val="008F200D"/>
    <w:rsid w:val="008F2B0D"/>
    <w:rsid w:val="008F3E84"/>
    <w:rsid w:val="008F592A"/>
    <w:rsid w:val="008F6CAC"/>
    <w:rsid w:val="00900275"/>
    <w:rsid w:val="009002D4"/>
    <w:rsid w:val="00901C26"/>
    <w:rsid w:val="009026FD"/>
    <w:rsid w:val="009046E7"/>
    <w:rsid w:val="009050BD"/>
    <w:rsid w:val="00907590"/>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0A5C"/>
    <w:rsid w:val="009513DF"/>
    <w:rsid w:val="0095191C"/>
    <w:rsid w:val="00953A42"/>
    <w:rsid w:val="00954895"/>
    <w:rsid w:val="0096123B"/>
    <w:rsid w:val="00961336"/>
    <w:rsid w:val="00962934"/>
    <w:rsid w:val="00962AF5"/>
    <w:rsid w:val="00963084"/>
    <w:rsid w:val="00963D07"/>
    <w:rsid w:val="00964A06"/>
    <w:rsid w:val="00965E57"/>
    <w:rsid w:val="00967419"/>
    <w:rsid w:val="00967684"/>
    <w:rsid w:val="00971546"/>
    <w:rsid w:val="00974612"/>
    <w:rsid w:val="00974ADB"/>
    <w:rsid w:val="00976CBE"/>
    <w:rsid w:val="00982A65"/>
    <w:rsid w:val="0098357C"/>
    <w:rsid w:val="0098464F"/>
    <w:rsid w:val="00984F2D"/>
    <w:rsid w:val="00985283"/>
    <w:rsid w:val="00986CAB"/>
    <w:rsid w:val="009916A5"/>
    <w:rsid w:val="00991FDE"/>
    <w:rsid w:val="009923F7"/>
    <w:rsid w:val="0099483A"/>
    <w:rsid w:val="009974BF"/>
    <w:rsid w:val="009979E1"/>
    <w:rsid w:val="009A02E3"/>
    <w:rsid w:val="009A1280"/>
    <w:rsid w:val="009A1D3A"/>
    <w:rsid w:val="009A2024"/>
    <w:rsid w:val="009A3DA4"/>
    <w:rsid w:val="009A46C1"/>
    <w:rsid w:val="009A6DB9"/>
    <w:rsid w:val="009A7BEE"/>
    <w:rsid w:val="009B16D1"/>
    <w:rsid w:val="009B1F5A"/>
    <w:rsid w:val="009B2E59"/>
    <w:rsid w:val="009B3EFC"/>
    <w:rsid w:val="009B570B"/>
    <w:rsid w:val="009C08E0"/>
    <w:rsid w:val="009C0D00"/>
    <w:rsid w:val="009C14F2"/>
    <w:rsid w:val="009C3DDD"/>
    <w:rsid w:val="009C3E8F"/>
    <w:rsid w:val="009C44DA"/>
    <w:rsid w:val="009C521B"/>
    <w:rsid w:val="009C7A7B"/>
    <w:rsid w:val="009D16E7"/>
    <w:rsid w:val="009D3CE5"/>
    <w:rsid w:val="009D433C"/>
    <w:rsid w:val="009D5361"/>
    <w:rsid w:val="009D6A31"/>
    <w:rsid w:val="009D7AA5"/>
    <w:rsid w:val="009E59BD"/>
    <w:rsid w:val="009F0129"/>
    <w:rsid w:val="009F163B"/>
    <w:rsid w:val="009F237C"/>
    <w:rsid w:val="009F3206"/>
    <w:rsid w:val="009F3B3E"/>
    <w:rsid w:val="009F4D5C"/>
    <w:rsid w:val="009F50FA"/>
    <w:rsid w:val="009F59D7"/>
    <w:rsid w:val="009F703D"/>
    <w:rsid w:val="00A04969"/>
    <w:rsid w:val="00A058C0"/>
    <w:rsid w:val="00A11C38"/>
    <w:rsid w:val="00A137E7"/>
    <w:rsid w:val="00A15641"/>
    <w:rsid w:val="00A15F77"/>
    <w:rsid w:val="00A1613E"/>
    <w:rsid w:val="00A164E7"/>
    <w:rsid w:val="00A207B6"/>
    <w:rsid w:val="00A20F88"/>
    <w:rsid w:val="00A20FD6"/>
    <w:rsid w:val="00A2241B"/>
    <w:rsid w:val="00A22933"/>
    <w:rsid w:val="00A23836"/>
    <w:rsid w:val="00A239EC"/>
    <w:rsid w:val="00A24A7F"/>
    <w:rsid w:val="00A25A25"/>
    <w:rsid w:val="00A266C1"/>
    <w:rsid w:val="00A26DB4"/>
    <w:rsid w:val="00A30B3F"/>
    <w:rsid w:val="00A31575"/>
    <w:rsid w:val="00A335A1"/>
    <w:rsid w:val="00A339FF"/>
    <w:rsid w:val="00A3468B"/>
    <w:rsid w:val="00A41F0E"/>
    <w:rsid w:val="00A42C2D"/>
    <w:rsid w:val="00A438C6"/>
    <w:rsid w:val="00A4433B"/>
    <w:rsid w:val="00A45553"/>
    <w:rsid w:val="00A519FF"/>
    <w:rsid w:val="00A52B76"/>
    <w:rsid w:val="00A538E9"/>
    <w:rsid w:val="00A53CD6"/>
    <w:rsid w:val="00A5576F"/>
    <w:rsid w:val="00A56690"/>
    <w:rsid w:val="00A57D1C"/>
    <w:rsid w:val="00A615D0"/>
    <w:rsid w:val="00A62AE6"/>
    <w:rsid w:val="00A62E0D"/>
    <w:rsid w:val="00A64245"/>
    <w:rsid w:val="00A66901"/>
    <w:rsid w:val="00A703FB"/>
    <w:rsid w:val="00A7081E"/>
    <w:rsid w:val="00A70932"/>
    <w:rsid w:val="00A71607"/>
    <w:rsid w:val="00A7411F"/>
    <w:rsid w:val="00A745E0"/>
    <w:rsid w:val="00A75538"/>
    <w:rsid w:val="00A80CBD"/>
    <w:rsid w:val="00A842B8"/>
    <w:rsid w:val="00A86822"/>
    <w:rsid w:val="00A874D6"/>
    <w:rsid w:val="00A87B55"/>
    <w:rsid w:val="00A9043F"/>
    <w:rsid w:val="00A90AE0"/>
    <w:rsid w:val="00A9275E"/>
    <w:rsid w:val="00A92955"/>
    <w:rsid w:val="00A94D3D"/>
    <w:rsid w:val="00A94DE5"/>
    <w:rsid w:val="00A97354"/>
    <w:rsid w:val="00A97A8C"/>
    <w:rsid w:val="00AA1330"/>
    <w:rsid w:val="00AA2100"/>
    <w:rsid w:val="00AA22B3"/>
    <w:rsid w:val="00AA2C96"/>
    <w:rsid w:val="00AA3344"/>
    <w:rsid w:val="00AA4051"/>
    <w:rsid w:val="00AA40EB"/>
    <w:rsid w:val="00AA4893"/>
    <w:rsid w:val="00AA51F8"/>
    <w:rsid w:val="00AA5790"/>
    <w:rsid w:val="00AA729E"/>
    <w:rsid w:val="00AA7A41"/>
    <w:rsid w:val="00AB0092"/>
    <w:rsid w:val="00AB0CFC"/>
    <w:rsid w:val="00AB0FAB"/>
    <w:rsid w:val="00AB1548"/>
    <w:rsid w:val="00AB18F9"/>
    <w:rsid w:val="00AB5A53"/>
    <w:rsid w:val="00AB7767"/>
    <w:rsid w:val="00AC366F"/>
    <w:rsid w:val="00AC38EE"/>
    <w:rsid w:val="00AC5E00"/>
    <w:rsid w:val="00AC6A44"/>
    <w:rsid w:val="00AC7DBC"/>
    <w:rsid w:val="00AD0328"/>
    <w:rsid w:val="00AD033A"/>
    <w:rsid w:val="00AD0792"/>
    <w:rsid w:val="00AD0AF0"/>
    <w:rsid w:val="00AD19ED"/>
    <w:rsid w:val="00AD2752"/>
    <w:rsid w:val="00AD42D9"/>
    <w:rsid w:val="00AD44AD"/>
    <w:rsid w:val="00AD4B3D"/>
    <w:rsid w:val="00AD592C"/>
    <w:rsid w:val="00AD5D7A"/>
    <w:rsid w:val="00AD5EFF"/>
    <w:rsid w:val="00AD64C4"/>
    <w:rsid w:val="00AD6E43"/>
    <w:rsid w:val="00AE03FF"/>
    <w:rsid w:val="00AE1D9F"/>
    <w:rsid w:val="00AE4C2F"/>
    <w:rsid w:val="00AE54BB"/>
    <w:rsid w:val="00AE654B"/>
    <w:rsid w:val="00AF0E2C"/>
    <w:rsid w:val="00AF2816"/>
    <w:rsid w:val="00AF392D"/>
    <w:rsid w:val="00AF3D13"/>
    <w:rsid w:val="00AF4DF7"/>
    <w:rsid w:val="00AF73BF"/>
    <w:rsid w:val="00AF754E"/>
    <w:rsid w:val="00B00B19"/>
    <w:rsid w:val="00B03D6A"/>
    <w:rsid w:val="00B079CA"/>
    <w:rsid w:val="00B10EAD"/>
    <w:rsid w:val="00B1161D"/>
    <w:rsid w:val="00B1214B"/>
    <w:rsid w:val="00B1646E"/>
    <w:rsid w:val="00B21697"/>
    <w:rsid w:val="00B22672"/>
    <w:rsid w:val="00B2342B"/>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57A8E"/>
    <w:rsid w:val="00B611B7"/>
    <w:rsid w:val="00B612D6"/>
    <w:rsid w:val="00B61D68"/>
    <w:rsid w:val="00B64B22"/>
    <w:rsid w:val="00B65275"/>
    <w:rsid w:val="00B66BE5"/>
    <w:rsid w:val="00B70A6C"/>
    <w:rsid w:val="00B7261D"/>
    <w:rsid w:val="00B74D54"/>
    <w:rsid w:val="00B75420"/>
    <w:rsid w:val="00B76D67"/>
    <w:rsid w:val="00B80220"/>
    <w:rsid w:val="00B815B7"/>
    <w:rsid w:val="00B82532"/>
    <w:rsid w:val="00B82CF3"/>
    <w:rsid w:val="00B83283"/>
    <w:rsid w:val="00B856D8"/>
    <w:rsid w:val="00B91385"/>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E99"/>
    <w:rsid w:val="00BE1F4F"/>
    <w:rsid w:val="00BE31D5"/>
    <w:rsid w:val="00BE3722"/>
    <w:rsid w:val="00BE4CE7"/>
    <w:rsid w:val="00BF1E9E"/>
    <w:rsid w:val="00BF2126"/>
    <w:rsid w:val="00BF60B2"/>
    <w:rsid w:val="00BF6927"/>
    <w:rsid w:val="00BF7230"/>
    <w:rsid w:val="00BF72AE"/>
    <w:rsid w:val="00C004BA"/>
    <w:rsid w:val="00C01781"/>
    <w:rsid w:val="00C020A4"/>
    <w:rsid w:val="00C0499D"/>
    <w:rsid w:val="00C06FAE"/>
    <w:rsid w:val="00C14904"/>
    <w:rsid w:val="00C16175"/>
    <w:rsid w:val="00C162AF"/>
    <w:rsid w:val="00C167DE"/>
    <w:rsid w:val="00C173A3"/>
    <w:rsid w:val="00C17592"/>
    <w:rsid w:val="00C217B7"/>
    <w:rsid w:val="00C21CB1"/>
    <w:rsid w:val="00C236F1"/>
    <w:rsid w:val="00C2388A"/>
    <w:rsid w:val="00C24608"/>
    <w:rsid w:val="00C30D22"/>
    <w:rsid w:val="00C31A87"/>
    <w:rsid w:val="00C32BEC"/>
    <w:rsid w:val="00C334C7"/>
    <w:rsid w:val="00C34ABE"/>
    <w:rsid w:val="00C35DA0"/>
    <w:rsid w:val="00C36DEE"/>
    <w:rsid w:val="00C4088A"/>
    <w:rsid w:val="00C41606"/>
    <w:rsid w:val="00C41BBC"/>
    <w:rsid w:val="00C433E3"/>
    <w:rsid w:val="00C44554"/>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2E8D"/>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2139"/>
    <w:rsid w:val="00C84049"/>
    <w:rsid w:val="00C90417"/>
    <w:rsid w:val="00C91055"/>
    <w:rsid w:val="00C9181C"/>
    <w:rsid w:val="00C925C5"/>
    <w:rsid w:val="00C92F89"/>
    <w:rsid w:val="00C94714"/>
    <w:rsid w:val="00C957D0"/>
    <w:rsid w:val="00CA06B5"/>
    <w:rsid w:val="00CA20E9"/>
    <w:rsid w:val="00CA2855"/>
    <w:rsid w:val="00CA2FBB"/>
    <w:rsid w:val="00CA7610"/>
    <w:rsid w:val="00CB3C6C"/>
    <w:rsid w:val="00CB4468"/>
    <w:rsid w:val="00CB6CCB"/>
    <w:rsid w:val="00CB7B03"/>
    <w:rsid w:val="00CC1447"/>
    <w:rsid w:val="00CC362B"/>
    <w:rsid w:val="00CC36AC"/>
    <w:rsid w:val="00CC4968"/>
    <w:rsid w:val="00CC4EEC"/>
    <w:rsid w:val="00CC52CB"/>
    <w:rsid w:val="00CC5550"/>
    <w:rsid w:val="00CC6022"/>
    <w:rsid w:val="00CC6E32"/>
    <w:rsid w:val="00CC6F15"/>
    <w:rsid w:val="00CC77FE"/>
    <w:rsid w:val="00CD1F0A"/>
    <w:rsid w:val="00CD29EB"/>
    <w:rsid w:val="00CD53B0"/>
    <w:rsid w:val="00CD56B0"/>
    <w:rsid w:val="00CD7127"/>
    <w:rsid w:val="00CE3D15"/>
    <w:rsid w:val="00CE4B05"/>
    <w:rsid w:val="00CE5A45"/>
    <w:rsid w:val="00CE5FD6"/>
    <w:rsid w:val="00CE619A"/>
    <w:rsid w:val="00CE6711"/>
    <w:rsid w:val="00CE6E86"/>
    <w:rsid w:val="00CF0647"/>
    <w:rsid w:val="00CF220F"/>
    <w:rsid w:val="00CF2443"/>
    <w:rsid w:val="00CF2CAD"/>
    <w:rsid w:val="00CF38B8"/>
    <w:rsid w:val="00CF406E"/>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256E"/>
    <w:rsid w:val="00D43F22"/>
    <w:rsid w:val="00D44159"/>
    <w:rsid w:val="00D4593D"/>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31F5"/>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0BEC"/>
    <w:rsid w:val="00E51CCC"/>
    <w:rsid w:val="00E523CB"/>
    <w:rsid w:val="00E53927"/>
    <w:rsid w:val="00E54DE0"/>
    <w:rsid w:val="00E568E1"/>
    <w:rsid w:val="00E57F7A"/>
    <w:rsid w:val="00E619E5"/>
    <w:rsid w:val="00E6252D"/>
    <w:rsid w:val="00E62AD2"/>
    <w:rsid w:val="00E6311F"/>
    <w:rsid w:val="00E63B85"/>
    <w:rsid w:val="00E67C4C"/>
    <w:rsid w:val="00E71978"/>
    <w:rsid w:val="00E72F15"/>
    <w:rsid w:val="00E74691"/>
    <w:rsid w:val="00E74E9D"/>
    <w:rsid w:val="00E77475"/>
    <w:rsid w:val="00E844CF"/>
    <w:rsid w:val="00E85C22"/>
    <w:rsid w:val="00E901B9"/>
    <w:rsid w:val="00E90305"/>
    <w:rsid w:val="00E91E25"/>
    <w:rsid w:val="00E92AF9"/>
    <w:rsid w:val="00E938EF"/>
    <w:rsid w:val="00E949A5"/>
    <w:rsid w:val="00E94DCD"/>
    <w:rsid w:val="00E961B8"/>
    <w:rsid w:val="00E9643A"/>
    <w:rsid w:val="00E96E3E"/>
    <w:rsid w:val="00EA1F86"/>
    <w:rsid w:val="00EA24F7"/>
    <w:rsid w:val="00EA26A1"/>
    <w:rsid w:val="00EA3094"/>
    <w:rsid w:val="00EA3969"/>
    <w:rsid w:val="00EA468D"/>
    <w:rsid w:val="00EA5111"/>
    <w:rsid w:val="00EB049C"/>
    <w:rsid w:val="00EB492E"/>
    <w:rsid w:val="00EB4F16"/>
    <w:rsid w:val="00EB5AC2"/>
    <w:rsid w:val="00EC0FB7"/>
    <w:rsid w:val="00EC161A"/>
    <w:rsid w:val="00EC47E4"/>
    <w:rsid w:val="00EC4AB4"/>
    <w:rsid w:val="00EC5C3F"/>
    <w:rsid w:val="00ED1933"/>
    <w:rsid w:val="00ED5B09"/>
    <w:rsid w:val="00ED6601"/>
    <w:rsid w:val="00EE109F"/>
    <w:rsid w:val="00EE4B8C"/>
    <w:rsid w:val="00EE641B"/>
    <w:rsid w:val="00EE7937"/>
    <w:rsid w:val="00EF039B"/>
    <w:rsid w:val="00EF12C2"/>
    <w:rsid w:val="00EF1A10"/>
    <w:rsid w:val="00EF220E"/>
    <w:rsid w:val="00EF2D4E"/>
    <w:rsid w:val="00EF4DD8"/>
    <w:rsid w:val="00EF51CD"/>
    <w:rsid w:val="00EF5767"/>
    <w:rsid w:val="00EF636D"/>
    <w:rsid w:val="00EF6784"/>
    <w:rsid w:val="00EF7935"/>
    <w:rsid w:val="00F01B0D"/>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4317"/>
    <w:rsid w:val="00F35118"/>
    <w:rsid w:val="00F35CE6"/>
    <w:rsid w:val="00F37AD3"/>
    <w:rsid w:val="00F41654"/>
    <w:rsid w:val="00F43335"/>
    <w:rsid w:val="00F455CA"/>
    <w:rsid w:val="00F510CF"/>
    <w:rsid w:val="00F51CA6"/>
    <w:rsid w:val="00F552AA"/>
    <w:rsid w:val="00F55412"/>
    <w:rsid w:val="00F5556E"/>
    <w:rsid w:val="00F56BAA"/>
    <w:rsid w:val="00F61BD8"/>
    <w:rsid w:val="00F63ABA"/>
    <w:rsid w:val="00F645C3"/>
    <w:rsid w:val="00F64910"/>
    <w:rsid w:val="00F64CAC"/>
    <w:rsid w:val="00F67941"/>
    <w:rsid w:val="00F679E3"/>
    <w:rsid w:val="00F706F1"/>
    <w:rsid w:val="00F7133A"/>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4F79"/>
    <w:rsid w:val="00FB6010"/>
    <w:rsid w:val="00FC0681"/>
    <w:rsid w:val="00FC2397"/>
    <w:rsid w:val="00FC34A4"/>
    <w:rsid w:val="00FC3B8A"/>
    <w:rsid w:val="00FC3FEE"/>
    <w:rsid w:val="00FC403A"/>
    <w:rsid w:val="00FD31C5"/>
    <w:rsid w:val="00FD4808"/>
    <w:rsid w:val="00FD6043"/>
    <w:rsid w:val="00FD626D"/>
    <w:rsid w:val="00FD69F8"/>
    <w:rsid w:val="00FD6BFF"/>
    <w:rsid w:val="00FD7588"/>
    <w:rsid w:val="00FD7CF2"/>
    <w:rsid w:val="00FE3290"/>
    <w:rsid w:val="00FE3CB2"/>
    <w:rsid w:val="00FE5395"/>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5021C7"/>
    <w:pPr>
      <w:numPr>
        <w:numId w:val="31"/>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styleId="20">
    <w:name w:val="Body Text 2"/>
    <w:basedOn w:val="a"/>
    <w:link w:val="2Char0"/>
    <w:uiPriority w:val="99"/>
    <w:unhideWhenUsed/>
    <w:rsid w:val="00621D13"/>
    <w:pPr>
      <w:spacing w:line="480" w:lineRule="auto"/>
    </w:pPr>
  </w:style>
  <w:style w:type="character" w:customStyle="1" w:styleId="2Char0">
    <w:name w:val="正文文本 2 Char"/>
    <w:basedOn w:val="a0"/>
    <w:link w:val="20"/>
    <w:uiPriority w:val="99"/>
    <w:rsid w:val="00621D13"/>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32110">
      <w:bodyDiv w:val="1"/>
      <w:marLeft w:val="0"/>
      <w:marRight w:val="0"/>
      <w:marTop w:val="0"/>
      <w:marBottom w:val="0"/>
      <w:divBdr>
        <w:top w:val="none" w:sz="0" w:space="0" w:color="auto"/>
        <w:left w:val="none" w:sz="0" w:space="0" w:color="auto"/>
        <w:bottom w:val="none" w:sz="0" w:space="0" w:color="auto"/>
        <w:right w:val="none" w:sz="0" w:space="0" w:color="auto"/>
      </w:divBdr>
    </w:div>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37933404">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6.xml><?xml version="1.0" encoding="utf-8"?>
<ds:datastoreItem xmlns:ds="http://schemas.openxmlformats.org/officeDocument/2006/customXml" ds:itemID="{D8D9A5C8-1DB8-42A3-B714-DBE041F1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Huawei RAN2#108</cp:lastModifiedBy>
  <cp:revision>105</cp:revision>
  <dcterms:created xsi:type="dcterms:W3CDTF">2019-11-08T02:56:00Z</dcterms:created>
  <dcterms:modified xsi:type="dcterms:W3CDTF">2019-11-08T04:12:00Z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(3)Ce112MWgvqB7OK/3NSLcBBud1dtk66CBvwCK9tuYUUi2MQbCpDjx2eQwOUDKDJb/kXhM5DhB
Jk5U7qxScw8fZRyfAVxQJHCHN9pPAFskK52Sc64MjIjjWWndJrEdXquCbWvKbwWra42DgcCY
qE7W7WbeP9TiJP2yxSfQLBGNVWgAXWpGaNMq8djZBcdRQVO3qvItZDoHXLhylDQGUW4zP/Hy
xaNn9hYq79mCggRda8</vt:lpwstr>
  </property>
  <property fmtid="{D5CDD505-2E9C-101B-9397-08002B2CF9AE}" pid="17" name="_2015_ms_pID_7253431">
    <vt:lpwstr>wOVBjBB8o5uOwVqAv/SQ8PtsnnYx4k4HgH6lfhPSh9lL3povK5zleb
qLCRYqtlgdYdSKp3gxwMkcfUwY8bs9OdW4/+aFbqHa8gdOAZ+MzvHKfe1PB/543lePjvUb6i
veCOlFuyFzq0eCgkU7ApgdRzftsW6frTGZfjuESSl3FUpTCJIG5V1m/IJ0cV+eUYozsLCNTf
nUDh7Z+Ma5v9Rv8I9H3lNPncTBXhd6eu984V</vt:lpwstr>
  </property>
  <property fmtid="{D5CDD505-2E9C-101B-9397-08002B2CF9AE}" pid="18" name="_2015_ms_pID_7253432">
    <vt:lpwstr>KQBb0Zo3fqfFWhT1FpS/ZPE=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1572848455</vt:lpwstr>
  </property>
</Properties>
</file>